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64B1" w14:textId="77777777"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5379604A" w14:textId="77777777" w:rsidTr="00284979">
        <w:tc>
          <w:tcPr>
            <w:tcW w:w="2660" w:type="dxa"/>
            <w:vAlign w:val="center"/>
          </w:tcPr>
          <w:p w14:paraId="2C73AC80"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6CAD67F0" w14:textId="41FCC980" w:rsidR="004027DD" w:rsidRPr="004027DD" w:rsidRDefault="005773FA" w:rsidP="00FB1E3A">
            <w:pPr>
              <w:rPr>
                <w:b/>
                <w:sz w:val="20"/>
                <w:szCs w:val="20"/>
              </w:rPr>
            </w:pPr>
            <w:r>
              <w:rPr>
                <w:b/>
                <w:sz w:val="20"/>
                <w:szCs w:val="20"/>
              </w:rPr>
              <w:t>AA</w:t>
            </w:r>
            <w:r w:rsidR="00716262">
              <w:rPr>
                <w:b/>
                <w:sz w:val="20"/>
                <w:szCs w:val="20"/>
              </w:rPr>
              <w:t>4</w:t>
            </w:r>
            <w:r>
              <w:rPr>
                <w:b/>
                <w:sz w:val="20"/>
                <w:szCs w:val="20"/>
              </w:rPr>
              <w:t xml:space="preserve"> </w:t>
            </w:r>
            <w:proofErr w:type="spellStart"/>
            <w:r w:rsidR="00255498" w:rsidRPr="00255498">
              <w:rPr>
                <w:b/>
                <w:sz w:val="20"/>
                <w:szCs w:val="20"/>
              </w:rPr>
              <w:t>GPSoC</w:t>
            </w:r>
            <w:proofErr w:type="spellEnd"/>
            <w:r w:rsidR="00255498" w:rsidRPr="00255498">
              <w:rPr>
                <w:b/>
                <w:sz w:val="20"/>
                <w:szCs w:val="20"/>
              </w:rPr>
              <w:t xml:space="preserve"> Allergy Archetype </w:t>
            </w:r>
            <w:r w:rsidR="00716262">
              <w:rPr>
                <w:b/>
                <w:sz w:val="20"/>
                <w:szCs w:val="20"/>
              </w:rPr>
              <w:t xml:space="preserve">- </w:t>
            </w:r>
            <w:r w:rsidR="00D87C56">
              <w:rPr>
                <w:b/>
                <w:sz w:val="20"/>
                <w:szCs w:val="20"/>
              </w:rPr>
              <w:t>GP Connect Allergy</w:t>
            </w:r>
            <w:r w:rsidR="00255498" w:rsidRPr="00255498">
              <w:rPr>
                <w:b/>
                <w:sz w:val="20"/>
                <w:szCs w:val="20"/>
              </w:rPr>
              <w:t xml:space="preserve"> Guidance</w:t>
            </w:r>
          </w:p>
        </w:tc>
      </w:tr>
      <w:tr w:rsidR="00284979" w:rsidRPr="004027DD" w14:paraId="04F3D55B" w14:textId="77777777" w:rsidTr="00134787">
        <w:tc>
          <w:tcPr>
            <w:tcW w:w="2660" w:type="dxa"/>
            <w:vAlign w:val="center"/>
          </w:tcPr>
          <w:p w14:paraId="726FEBB1"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4AB1EC52" w14:textId="6C2EFFDA" w:rsidR="004027DD" w:rsidRPr="004027DD" w:rsidRDefault="001D084B" w:rsidP="004027DD">
            <w:pPr>
              <w:rPr>
                <w:b/>
                <w:sz w:val="20"/>
                <w:szCs w:val="20"/>
              </w:rPr>
            </w:pPr>
            <w:r>
              <w:rPr>
                <w:b/>
                <w:sz w:val="20"/>
                <w:szCs w:val="20"/>
              </w:rPr>
              <w:t>GP Connect</w:t>
            </w:r>
          </w:p>
        </w:tc>
        <w:tc>
          <w:tcPr>
            <w:tcW w:w="1984" w:type="dxa"/>
            <w:tcBorders>
              <w:left w:val="single" w:sz="4" w:space="0" w:color="8494A3" w:themeColor="accent6" w:themeTint="99"/>
            </w:tcBorders>
            <w:vAlign w:val="center"/>
          </w:tcPr>
          <w:p w14:paraId="26C3EBEB" w14:textId="77777777" w:rsidR="004027DD" w:rsidRPr="004027DD" w:rsidRDefault="004027DD" w:rsidP="004027DD">
            <w:pPr>
              <w:rPr>
                <w:sz w:val="20"/>
                <w:szCs w:val="20"/>
              </w:rPr>
            </w:pPr>
            <w:r w:rsidRPr="004027DD">
              <w:rPr>
                <w:sz w:val="20"/>
                <w:szCs w:val="20"/>
              </w:rPr>
              <w:t>Project</w:t>
            </w:r>
          </w:p>
        </w:tc>
        <w:tc>
          <w:tcPr>
            <w:tcW w:w="1892" w:type="dxa"/>
            <w:vAlign w:val="center"/>
          </w:tcPr>
          <w:p w14:paraId="453E5FF3" w14:textId="14B267E2" w:rsidR="004027DD" w:rsidRPr="004027DD" w:rsidRDefault="00540BA5" w:rsidP="004027DD">
            <w:pPr>
              <w:rPr>
                <w:b/>
                <w:sz w:val="20"/>
                <w:szCs w:val="20"/>
              </w:rPr>
            </w:pPr>
            <w:r>
              <w:rPr>
                <w:b/>
                <w:sz w:val="20"/>
                <w:szCs w:val="20"/>
              </w:rPr>
              <w:t xml:space="preserve">Access </w:t>
            </w:r>
            <w:r w:rsidR="00071C43">
              <w:rPr>
                <w:b/>
                <w:sz w:val="20"/>
                <w:szCs w:val="20"/>
              </w:rPr>
              <w:t>Record Structured</w:t>
            </w:r>
          </w:p>
        </w:tc>
      </w:tr>
      <w:tr w:rsidR="004027DD" w:rsidRPr="004027DD" w14:paraId="5ADD15B6" w14:textId="77777777" w:rsidTr="00284979">
        <w:tc>
          <w:tcPr>
            <w:tcW w:w="2660" w:type="dxa"/>
            <w:vAlign w:val="center"/>
          </w:tcPr>
          <w:p w14:paraId="194CC300"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30E1A0A8" w14:textId="0518D935" w:rsidR="004027DD" w:rsidRPr="004027DD" w:rsidRDefault="0029141D" w:rsidP="004027DD">
            <w:pPr>
              <w:rPr>
                <w:b/>
                <w:sz w:val="20"/>
                <w:szCs w:val="20"/>
              </w:rPr>
            </w:pPr>
            <w:r>
              <w:rPr>
                <w:b/>
                <w:sz w:val="20"/>
                <w:szCs w:val="20"/>
              </w:rPr>
              <w:t>AA</w:t>
            </w:r>
            <w:r w:rsidR="00716262">
              <w:rPr>
                <w:b/>
                <w:sz w:val="20"/>
                <w:szCs w:val="20"/>
              </w:rPr>
              <w:t>4</w:t>
            </w:r>
          </w:p>
        </w:tc>
      </w:tr>
      <w:tr w:rsidR="00284979" w:rsidRPr="004027DD" w14:paraId="2BBCDC08" w14:textId="77777777" w:rsidTr="00134787">
        <w:tc>
          <w:tcPr>
            <w:tcW w:w="2660" w:type="dxa"/>
            <w:vAlign w:val="center"/>
          </w:tcPr>
          <w:p w14:paraId="6E96C84C"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298EFC01" w14:textId="3A19618D" w:rsidR="004027DD" w:rsidRPr="004027DD" w:rsidRDefault="00BB0E0C" w:rsidP="004027DD">
            <w:pPr>
              <w:rPr>
                <w:b/>
                <w:sz w:val="20"/>
                <w:szCs w:val="20"/>
              </w:rPr>
            </w:pPr>
            <w:r>
              <w:rPr>
                <w:b/>
                <w:sz w:val="20"/>
                <w:szCs w:val="20"/>
              </w:rPr>
              <w:t>Simon Fitzgerald</w:t>
            </w:r>
          </w:p>
        </w:tc>
        <w:tc>
          <w:tcPr>
            <w:tcW w:w="1984" w:type="dxa"/>
            <w:tcBorders>
              <w:left w:val="single" w:sz="4" w:space="0" w:color="8494A3" w:themeColor="accent6" w:themeTint="99"/>
            </w:tcBorders>
            <w:vAlign w:val="center"/>
          </w:tcPr>
          <w:p w14:paraId="6D667785"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B3BEA0C724142938A4B8AD649B9436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0F041C42" w14:textId="48AED2DA" w:rsidR="004027DD" w:rsidRPr="00320C3F" w:rsidRDefault="00111B55" w:rsidP="00CE7577">
                <w:pPr>
                  <w:rPr>
                    <w:b/>
                    <w:sz w:val="20"/>
                    <w:szCs w:val="20"/>
                  </w:rPr>
                </w:pPr>
                <w:r>
                  <w:rPr>
                    <w:b/>
                    <w:sz w:val="20"/>
                    <w:szCs w:val="20"/>
                  </w:rPr>
                  <w:t>Final</w:t>
                </w:r>
              </w:p>
            </w:tc>
          </w:sdtContent>
        </w:sdt>
      </w:tr>
      <w:tr w:rsidR="004027DD" w:rsidRPr="004027DD" w14:paraId="0A83D0C9" w14:textId="77777777" w:rsidTr="00134787">
        <w:tc>
          <w:tcPr>
            <w:tcW w:w="2660" w:type="dxa"/>
            <w:vAlign w:val="center"/>
          </w:tcPr>
          <w:p w14:paraId="0751E066"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6B1A5316" w14:textId="7336E6DF" w:rsidR="004027DD" w:rsidRPr="004027DD" w:rsidRDefault="001D084B" w:rsidP="004027DD">
            <w:pPr>
              <w:rPr>
                <w:sz w:val="20"/>
                <w:szCs w:val="20"/>
              </w:rPr>
            </w:pPr>
            <w:r>
              <w:rPr>
                <w:b/>
                <w:sz w:val="20"/>
                <w:szCs w:val="20"/>
              </w:rPr>
              <w:t>Simon Fitzgerald</w:t>
            </w:r>
          </w:p>
        </w:tc>
        <w:tc>
          <w:tcPr>
            <w:tcW w:w="1984" w:type="dxa"/>
            <w:tcBorders>
              <w:left w:val="single" w:sz="4" w:space="0" w:color="8494A3" w:themeColor="accent6" w:themeTint="99"/>
            </w:tcBorders>
            <w:vAlign w:val="center"/>
          </w:tcPr>
          <w:p w14:paraId="6BF26F5F"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D0056345D9B43C8A3C6B134FDFCAD5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4EA77D6E" w14:textId="0988F3A5" w:rsidR="004027DD" w:rsidRPr="009A450D" w:rsidRDefault="00111B55" w:rsidP="00CE7577">
                <w:pPr>
                  <w:rPr>
                    <w:b/>
                    <w:sz w:val="20"/>
                    <w:szCs w:val="20"/>
                  </w:rPr>
                </w:pPr>
                <w:r>
                  <w:rPr>
                    <w:b/>
                    <w:sz w:val="20"/>
                    <w:szCs w:val="20"/>
                  </w:rPr>
                  <w:t>1</w:t>
                </w:r>
              </w:p>
            </w:tc>
          </w:sdtContent>
        </w:sdt>
      </w:tr>
      <w:tr w:rsidR="00284979" w:rsidRPr="004027DD" w14:paraId="63ED4839" w14:textId="77777777" w:rsidTr="00134787">
        <w:tc>
          <w:tcPr>
            <w:tcW w:w="2660" w:type="dxa"/>
            <w:vAlign w:val="center"/>
          </w:tcPr>
          <w:p w14:paraId="7DED711A"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1918FA98" w14:textId="5A94F2B1" w:rsidR="004027DD" w:rsidRPr="004027DD" w:rsidRDefault="001B775A" w:rsidP="004027DD">
            <w:pPr>
              <w:rPr>
                <w:sz w:val="20"/>
                <w:szCs w:val="20"/>
              </w:rPr>
            </w:pPr>
            <w:r>
              <w:rPr>
                <w:b/>
                <w:sz w:val="20"/>
                <w:szCs w:val="20"/>
              </w:rPr>
              <w:t>Pete Salisbury</w:t>
            </w:r>
          </w:p>
        </w:tc>
        <w:tc>
          <w:tcPr>
            <w:tcW w:w="1984" w:type="dxa"/>
            <w:tcBorders>
              <w:left w:val="single" w:sz="4" w:space="0" w:color="8494A3" w:themeColor="accent6" w:themeTint="99"/>
            </w:tcBorders>
            <w:vAlign w:val="center"/>
          </w:tcPr>
          <w:p w14:paraId="6E524E57"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D315FF9B977E474A8E8436B4AF8E400D"/>
            </w:placeholder>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tc>
              <w:tcPr>
                <w:tcW w:w="1892" w:type="dxa"/>
                <w:vAlign w:val="center"/>
              </w:tcPr>
              <w:p w14:paraId="6694577D" w14:textId="2425D135" w:rsidR="004027DD" w:rsidRPr="00320C3F" w:rsidRDefault="005765C2" w:rsidP="00502B52">
                <w:pPr>
                  <w:rPr>
                    <w:b/>
                    <w:sz w:val="20"/>
                    <w:szCs w:val="20"/>
                  </w:rPr>
                </w:pPr>
                <w:r>
                  <w:rPr>
                    <w:b/>
                    <w:sz w:val="20"/>
                    <w:szCs w:val="20"/>
                  </w:rPr>
                  <w:t>09</w:t>
                </w:r>
                <w:r w:rsidR="00BF0ECF">
                  <w:rPr>
                    <w:b/>
                    <w:sz w:val="20"/>
                    <w:szCs w:val="20"/>
                  </w:rPr>
                  <w:t>/</w:t>
                </w:r>
                <w:r>
                  <w:rPr>
                    <w:b/>
                    <w:sz w:val="20"/>
                    <w:szCs w:val="20"/>
                  </w:rPr>
                  <w:t>1</w:t>
                </w:r>
                <w:r w:rsidR="00BF0ECF">
                  <w:rPr>
                    <w:b/>
                    <w:sz w:val="20"/>
                    <w:szCs w:val="20"/>
                  </w:rPr>
                  <w:t>0/2018</w:t>
                </w:r>
              </w:p>
            </w:tc>
          </w:sdtContent>
        </w:sdt>
      </w:tr>
    </w:tbl>
    <w:p w14:paraId="20F8AF8A" w14:textId="77777777" w:rsidR="00E14002" w:rsidRPr="00B476EC" w:rsidRDefault="00E14002" w:rsidP="00E14002"/>
    <w:p w14:paraId="7F730C22" w14:textId="77777777" w:rsidR="00E14002" w:rsidRPr="00B476EC" w:rsidRDefault="00E14002" w:rsidP="00E14002"/>
    <w:p w14:paraId="7BA56DBB" w14:textId="77777777" w:rsidR="00E14002" w:rsidRPr="00B476EC" w:rsidRDefault="00E14002" w:rsidP="00F53404"/>
    <w:p w14:paraId="146FA908" w14:textId="77777777" w:rsidR="00E14002" w:rsidRPr="00B476EC" w:rsidRDefault="00E14002" w:rsidP="00F53404"/>
    <w:p w14:paraId="1AB44265" w14:textId="6B0641EC" w:rsidR="00E14002" w:rsidRPr="00B476EC" w:rsidRDefault="00F721C2" w:rsidP="00F53404">
      <w:r>
        <w:rPr>
          <w:noProof/>
          <w:lang w:eastAsia="en-GB"/>
        </w:rPr>
        <mc:AlternateContent>
          <mc:Choice Requires="wps">
            <w:drawing>
              <wp:anchor distT="0" distB="0" distL="114300" distR="114300" simplePos="0" relativeHeight="251657728" behindDoc="1" locked="0" layoutInCell="1" allowOverlap="1" wp14:anchorId="05EAA0FD" wp14:editId="73C8887A">
                <wp:simplePos x="0" y="0"/>
                <wp:positionH relativeFrom="margin">
                  <wp:align>left</wp:align>
                </wp:positionH>
                <wp:positionV relativeFrom="page">
                  <wp:posOffset>4438650</wp:posOffset>
                </wp:positionV>
                <wp:extent cx="6361430" cy="1581150"/>
                <wp:effectExtent l="0" t="0" r="0" b="0"/>
                <wp:wrapTight wrapText="bothSides">
                  <wp:wrapPolygon edited="0">
                    <wp:start x="194" y="0"/>
                    <wp:lineTo x="194" y="21340"/>
                    <wp:lineTo x="21346" y="21340"/>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5D55C06F" w14:textId="03228832" w:rsidR="00615AC5" w:rsidRPr="003B5558" w:rsidRDefault="00C4325A">
                                <w:pPr>
                                  <w:rPr>
                                    <w:b/>
                                  </w:rPr>
                                </w:pPr>
                                <w:proofErr w:type="spellStart"/>
                                <w:r w:rsidRPr="00DB7333">
                                  <w:rPr>
                                    <w:b/>
                                    <w:color w:val="005EB8" w:themeColor="accent1"/>
                                    <w:sz w:val="70"/>
                                    <w:szCs w:val="70"/>
                                  </w:rPr>
                                  <w:t>GPSoC</w:t>
                                </w:r>
                                <w:proofErr w:type="spellEnd"/>
                                <w:r w:rsidRPr="00DB7333">
                                  <w:rPr>
                                    <w:b/>
                                    <w:color w:val="005EB8" w:themeColor="accent1"/>
                                    <w:sz w:val="70"/>
                                    <w:szCs w:val="70"/>
                                  </w:rPr>
                                  <w:t xml:space="preserve"> Allergy Archetype </w:t>
                                </w:r>
                                <w:r w:rsidR="00602282">
                                  <w:rPr>
                                    <w:b/>
                                    <w:color w:val="005EB8" w:themeColor="accent1"/>
                                    <w:sz w:val="70"/>
                                    <w:szCs w:val="70"/>
                                  </w:rPr>
                                  <w:t xml:space="preserve">-GP Connect allergy </w:t>
                                </w:r>
                                <w:r w:rsidRPr="00DB7333">
                                  <w:rPr>
                                    <w:b/>
                                    <w:color w:val="005EB8" w:themeColor="accent1"/>
                                    <w:sz w:val="70"/>
                                    <w:szCs w:val="70"/>
                                  </w:rPr>
                                  <w:t>Guidance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AA0FD" id="_x0000_t202" coordsize="21600,21600" o:spt="202" path="m,l,21600r21600,l21600,xe">
                <v:stroke joinstyle="miter"/>
                <v:path gradientshapeok="t" o:connecttype="rect"/>
              </v:shapetype>
              <v:shape id="Text Box 2" o:spid="_x0000_s1026" type="#_x0000_t202" style="position:absolute;margin-left:0;margin-top:349.5pt;width:500.9pt;height:124.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" filled="f" stroked="f" strokeweight=".5pt">
                <v:textbo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5D55C06F" w14:textId="03228832" w:rsidR="00615AC5" w:rsidRPr="003B5558" w:rsidRDefault="00C4325A">
                          <w:pPr>
                            <w:rPr>
                              <w:b/>
                            </w:rPr>
                          </w:pPr>
                          <w:proofErr w:type="spellStart"/>
                          <w:r w:rsidRPr="00DB7333">
                            <w:rPr>
                              <w:b/>
                              <w:color w:val="005EB8" w:themeColor="accent1"/>
                              <w:sz w:val="70"/>
                              <w:szCs w:val="70"/>
                            </w:rPr>
                            <w:t>GPSoC</w:t>
                          </w:r>
                          <w:proofErr w:type="spellEnd"/>
                          <w:r w:rsidRPr="00DB7333">
                            <w:rPr>
                              <w:b/>
                              <w:color w:val="005EB8" w:themeColor="accent1"/>
                              <w:sz w:val="70"/>
                              <w:szCs w:val="70"/>
                            </w:rPr>
                            <w:t xml:space="preserve"> Allergy Archetype </w:t>
                          </w:r>
                          <w:r w:rsidR="00602282">
                            <w:rPr>
                              <w:b/>
                              <w:color w:val="005EB8" w:themeColor="accent1"/>
                              <w:sz w:val="70"/>
                              <w:szCs w:val="70"/>
                            </w:rPr>
                            <w:t xml:space="preserve">-GP Connect allergy </w:t>
                          </w:r>
                          <w:r w:rsidRPr="00DB7333">
                            <w:rPr>
                              <w:b/>
                              <w:color w:val="005EB8" w:themeColor="accent1"/>
                              <w:sz w:val="70"/>
                              <w:szCs w:val="70"/>
                            </w:rPr>
                            <w:t>Guidance</w:t>
                          </w:r>
                        </w:p>
                      </w:sdtContent>
                    </w:sdt>
                  </w:txbxContent>
                </v:textbox>
                <w10:wrap type="tight" anchorx="margin" anchory="page"/>
              </v:shape>
            </w:pict>
          </mc:Fallback>
        </mc:AlternateContent>
      </w:r>
    </w:p>
    <w:p w14:paraId="1063CFCC" w14:textId="77777777" w:rsidR="00E14002" w:rsidRPr="00B476EC" w:rsidRDefault="00E14002" w:rsidP="00F53404"/>
    <w:p w14:paraId="602773F0" w14:textId="77777777" w:rsidR="00E14002" w:rsidRPr="00B476EC" w:rsidRDefault="00E14002" w:rsidP="00F53404"/>
    <w:p w14:paraId="6497AC2E" w14:textId="77777777" w:rsidR="00E14002" w:rsidRPr="00B476EC" w:rsidRDefault="00E14002" w:rsidP="00F53404">
      <w:pPr>
        <w:tabs>
          <w:tab w:val="left" w:pos="2000"/>
        </w:tabs>
      </w:pPr>
    </w:p>
    <w:p w14:paraId="7DD9A687" w14:textId="013503D8" w:rsidR="000B507D" w:rsidRPr="00747F45" w:rsidRDefault="000B507D" w:rsidP="000B507D">
      <w:pPr>
        <w:tabs>
          <w:tab w:val="left" w:pos="142"/>
        </w:tabs>
        <w:rPr>
          <w:b/>
          <w:sz w:val="48"/>
        </w:rPr>
      </w:pPr>
      <w:r>
        <w:rPr>
          <w:b/>
          <w:sz w:val="48"/>
        </w:rPr>
        <w:tab/>
      </w:r>
      <w:r w:rsidRPr="00747F45">
        <w:rPr>
          <w:b/>
          <w:sz w:val="48"/>
        </w:rPr>
        <w:t>Improving allergy interoperability</w:t>
      </w:r>
    </w:p>
    <w:p w14:paraId="21D67FCE" w14:textId="77777777" w:rsidR="000B507D" w:rsidRDefault="000B507D" w:rsidP="000B507D"/>
    <w:p w14:paraId="4B6BB3B3" w14:textId="77777777" w:rsidR="000B507D" w:rsidRDefault="000B507D" w:rsidP="00C4325A"/>
    <w:p w14:paraId="4E6958B7" w14:textId="77777777" w:rsidR="00747F45" w:rsidRPr="00C4325A" w:rsidRDefault="00747F45" w:rsidP="00C4325A"/>
    <w:p w14:paraId="008F2552" w14:textId="77777777" w:rsidR="007E0BD3" w:rsidRPr="00B476EC" w:rsidRDefault="007E0BD3">
      <w:pPr>
        <w:sectPr w:rsidR="007E0BD3" w:rsidRPr="00B476EC" w:rsidSect="00DA41AC">
          <w:headerReference w:type="default" r:id="rId14"/>
          <w:footerReference w:type="default" r:id="rId15"/>
          <w:headerReference w:type="first" r:id="rId16"/>
          <w:footerReference w:type="first" r:id="rId17"/>
          <w:pgSz w:w="11906" w:h="16838"/>
          <w:pgMar w:top="1021" w:right="1021" w:bottom="1021" w:left="1021" w:header="561" w:footer="561" w:gutter="0"/>
          <w:pgNumType w:fmt="lowerRoman" w:start="1"/>
          <w:cols w:space="720"/>
          <w:titlePg/>
          <w:docGrid w:linePitch="360"/>
        </w:sectPr>
      </w:pPr>
    </w:p>
    <w:p w14:paraId="0E977A7B" w14:textId="77777777" w:rsidR="00183E37" w:rsidRPr="00792C12" w:rsidRDefault="00C318D6" w:rsidP="00792C12">
      <w:pPr>
        <w:pStyle w:val="Docmgmtheading"/>
      </w:pPr>
      <w:r>
        <w:lastRenderedPageBreak/>
        <w:t>Document m</w:t>
      </w:r>
      <w:r w:rsidR="00183E37" w:rsidRPr="00792C12">
        <w:t>anagement</w:t>
      </w:r>
    </w:p>
    <w:p w14:paraId="6442834B" w14:textId="77777777"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89"/>
        <w:gridCol w:w="1474"/>
        <w:gridCol w:w="5701"/>
      </w:tblGrid>
      <w:tr w:rsidR="006F6FD7" w:rsidRPr="00B476EC" w14:paraId="66FA75E3" w14:textId="77777777" w:rsidTr="00574E87">
        <w:trPr>
          <w:trHeight w:val="290"/>
        </w:trPr>
        <w:tc>
          <w:tcPr>
            <w:tcW w:w="1363" w:type="pct"/>
            <w:tcBorders>
              <w:top w:val="single" w:sz="2" w:space="0" w:color="000000"/>
              <w:bottom w:val="single" w:sz="2" w:space="0" w:color="000000"/>
              <w:right w:val="nil"/>
            </w:tcBorders>
          </w:tcPr>
          <w:p w14:paraId="66B3CBF1"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1AA3D018" w14:textId="77777777" w:rsidR="006F6FD7" w:rsidRPr="00B476EC" w:rsidRDefault="006F6FD7" w:rsidP="001D13B8">
            <w:pPr>
              <w:pStyle w:val="TableHeader"/>
              <w:rPr>
                <w:lang w:val="en-GB"/>
              </w:rPr>
            </w:pPr>
            <w:r w:rsidRPr="00B476EC">
              <w:rPr>
                <w:lang w:val="en-GB"/>
              </w:rPr>
              <w:t>Date</w:t>
            </w:r>
          </w:p>
        </w:tc>
        <w:tc>
          <w:tcPr>
            <w:tcW w:w="2890" w:type="pct"/>
            <w:tcBorders>
              <w:top w:val="single" w:sz="2" w:space="0" w:color="000000"/>
              <w:left w:val="nil"/>
              <w:bottom w:val="single" w:sz="2" w:space="0" w:color="000000"/>
            </w:tcBorders>
          </w:tcPr>
          <w:p w14:paraId="1972DFA5" w14:textId="77777777" w:rsidR="006F6FD7" w:rsidRPr="00B476EC" w:rsidRDefault="006F6FD7" w:rsidP="001D13B8">
            <w:pPr>
              <w:pStyle w:val="TableHeader"/>
              <w:rPr>
                <w:lang w:val="en-GB"/>
              </w:rPr>
            </w:pPr>
            <w:r w:rsidRPr="00B476EC">
              <w:rPr>
                <w:lang w:val="en-GB"/>
              </w:rPr>
              <w:t>Summary of Changes</w:t>
            </w:r>
          </w:p>
        </w:tc>
      </w:tr>
      <w:tr w:rsidR="006F6FD7" w:rsidRPr="00B476EC" w14:paraId="24C28D11" w14:textId="77777777" w:rsidTr="00574E87">
        <w:trPr>
          <w:trHeight w:val="290"/>
        </w:trPr>
        <w:tc>
          <w:tcPr>
            <w:tcW w:w="1363" w:type="pct"/>
            <w:tcBorders>
              <w:top w:val="single" w:sz="2" w:space="0" w:color="000000"/>
              <w:right w:val="nil"/>
            </w:tcBorders>
            <w:vAlign w:val="center"/>
          </w:tcPr>
          <w:p w14:paraId="3189611A" w14:textId="39DA0B85" w:rsidR="006F6FD7" w:rsidRPr="00B476EC" w:rsidRDefault="00EF4C47" w:rsidP="00190190">
            <w:pPr>
              <w:pStyle w:val="TableText"/>
            </w:pPr>
            <w:r>
              <w:t>0.1</w:t>
            </w:r>
          </w:p>
        </w:tc>
        <w:tc>
          <w:tcPr>
            <w:tcW w:w="747" w:type="pct"/>
            <w:tcBorders>
              <w:top w:val="single" w:sz="2" w:space="0" w:color="000000"/>
              <w:left w:val="nil"/>
              <w:right w:val="nil"/>
            </w:tcBorders>
            <w:shd w:val="clear" w:color="auto" w:fill="auto"/>
            <w:vAlign w:val="center"/>
          </w:tcPr>
          <w:p w14:paraId="7E5F01E7" w14:textId="36B75860" w:rsidR="006F6FD7" w:rsidRPr="00B476EC" w:rsidRDefault="00EF4C47" w:rsidP="00190190">
            <w:pPr>
              <w:pStyle w:val="TableText"/>
            </w:pPr>
            <w:r>
              <w:t>14/0</w:t>
            </w:r>
            <w:r w:rsidR="00F75ED9">
              <w:t>3/2018</w:t>
            </w:r>
          </w:p>
        </w:tc>
        <w:tc>
          <w:tcPr>
            <w:tcW w:w="2890" w:type="pct"/>
            <w:tcBorders>
              <w:top w:val="single" w:sz="2" w:space="0" w:color="000000"/>
              <w:left w:val="nil"/>
            </w:tcBorders>
            <w:vAlign w:val="center"/>
          </w:tcPr>
          <w:p w14:paraId="1DD8E47F" w14:textId="3EF33149" w:rsidR="006F6FD7" w:rsidRPr="00B476EC" w:rsidRDefault="00F75ED9" w:rsidP="00190190">
            <w:pPr>
              <w:pStyle w:val="TableText"/>
            </w:pPr>
            <w:r>
              <w:t>Initial draft</w:t>
            </w:r>
          </w:p>
        </w:tc>
      </w:tr>
      <w:tr w:rsidR="002B7F92" w:rsidRPr="00B476EC" w14:paraId="03B71E55" w14:textId="77777777" w:rsidTr="00574E87">
        <w:trPr>
          <w:trHeight w:val="290"/>
        </w:trPr>
        <w:tc>
          <w:tcPr>
            <w:tcW w:w="1363" w:type="pct"/>
            <w:tcBorders>
              <w:right w:val="nil"/>
            </w:tcBorders>
          </w:tcPr>
          <w:p w14:paraId="56AA901A" w14:textId="7BE7FE64" w:rsidR="002B7F92" w:rsidRPr="00B476EC" w:rsidRDefault="002B7F92" w:rsidP="002B7F92">
            <w:pPr>
              <w:pStyle w:val="TableText"/>
            </w:pPr>
            <w:r w:rsidRPr="00B271B1">
              <w:t>0.2</w:t>
            </w:r>
          </w:p>
        </w:tc>
        <w:tc>
          <w:tcPr>
            <w:tcW w:w="747" w:type="pct"/>
            <w:tcBorders>
              <w:left w:val="nil"/>
              <w:right w:val="nil"/>
            </w:tcBorders>
            <w:shd w:val="clear" w:color="auto" w:fill="auto"/>
          </w:tcPr>
          <w:p w14:paraId="686727DC" w14:textId="0E1734BF" w:rsidR="002B7F92" w:rsidRPr="00B476EC" w:rsidRDefault="002B7F92" w:rsidP="002B7F92">
            <w:pPr>
              <w:pStyle w:val="TableText"/>
            </w:pPr>
            <w:r w:rsidRPr="00B271B1">
              <w:t>22/06/2018</w:t>
            </w:r>
          </w:p>
        </w:tc>
        <w:tc>
          <w:tcPr>
            <w:tcW w:w="2890" w:type="pct"/>
            <w:tcBorders>
              <w:left w:val="nil"/>
            </w:tcBorders>
          </w:tcPr>
          <w:p w14:paraId="58710AC5" w14:textId="2B4F44F3" w:rsidR="002B7F92" w:rsidRPr="00B476EC" w:rsidRDefault="002B7F92" w:rsidP="002B7F92">
            <w:pPr>
              <w:pStyle w:val="TableText"/>
            </w:pPr>
            <w:r w:rsidRPr="00B271B1">
              <w:t>Second draft following initial reviews with team</w:t>
            </w:r>
          </w:p>
        </w:tc>
      </w:tr>
      <w:tr w:rsidR="002B7F92" w:rsidRPr="00B476EC" w14:paraId="69D20909" w14:textId="77777777" w:rsidTr="00574E87">
        <w:trPr>
          <w:trHeight w:val="290"/>
        </w:trPr>
        <w:tc>
          <w:tcPr>
            <w:tcW w:w="1363" w:type="pct"/>
            <w:tcBorders>
              <w:right w:val="nil"/>
            </w:tcBorders>
          </w:tcPr>
          <w:p w14:paraId="23135289" w14:textId="1B14F5A5" w:rsidR="002B7F92" w:rsidRPr="00B476EC" w:rsidRDefault="002B7F92" w:rsidP="002B7F92">
            <w:pPr>
              <w:pStyle w:val="TableText"/>
            </w:pPr>
            <w:r w:rsidRPr="00B271B1">
              <w:t>0.3</w:t>
            </w:r>
          </w:p>
        </w:tc>
        <w:tc>
          <w:tcPr>
            <w:tcW w:w="747" w:type="pct"/>
            <w:tcBorders>
              <w:left w:val="nil"/>
              <w:right w:val="nil"/>
            </w:tcBorders>
            <w:shd w:val="clear" w:color="auto" w:fill="auto"/>
          </w:tcPr>
          <w:p w14:paraId="37521954" w14:textId="0E208CD7" w:rsidR="002B7F92" w:rsidRPr="00B476EC" w:rsidRDefault="002B7F92" w:rsidP="002B7F92">
            <w:pPr>
              <w:pStyle w:val="TableText"/>
            </w:pPr>
            <w:r w:rsidRPr="00B271B1">
              <w:t>29/08/2018</w:t>
            </w:r>
          </w:p>
        </w:tc>
        <w:tc>
          <w:tcPr>
            <w:tcW w:w="2890" w:type="pct"/>
            <w:tcBorders>
              <w:left w:val="nil"/>
            </w:tcBorders>
          </w:tcPr>
          <w:p w14:paraId="63A270E6" w14:textId="11C7DC0A" w:rsidR="002B7F92" w:rsidRPr="00B476EC" w:rsidRDefault="002B7F92" w:rsidP="002B7F92">
            <w:pPr>
              <w:pStyle w:val="TableText"/>
            </w:pPr>
            <w:r w:rsidRPr="00B271B1">
              <w:t>Technical author initial review</w:t>
            </w:r>
          </w:p>
        </w:tc>
      </w:tr>
      <w:tr w:rsidR="00885851" w:rsidRPr="00B476EC" w14:paraId="186E4C32" w14:textId="77777777" w:rsidTr="00574E87">
        <w:trPr>
          <w:trHeight w:val="290"/>
        </w:trPr>
        <w:tc>
          <w:tcPr>
            <w:tcW w:w="1363" w:type="pct"/>
            <w:tcBorders>
              <w:right w:val="nil"/>
            </w:tcBorders>
            <w:vAlign w:val="center"/>
          </w:tcPr>
          <w:p w14:paraId="7E3213F6" w14:textId="36CF6C89" w:rsidR="00885851" w:rsidRPr="00B476EC" w:rsidRDefault="00574E87" w:rsidP="00190190">
            <w:pPr>
              <w:pStyle w:val="TableText"/>
            </w:pPr>
            <w:r>
              <w:t>0.4</w:t>
            </w:r>
          </w:p>
        </w:tc>
        <w:tc>
          <w:tcPr>
            <w:tcW w:w="747" w:type="pct"/>
            <w:tcBorders>
              <w:left w:val="nil"/>
              <w:right w:val="nil"/>
            </w:tcBorders>
            <w:shd w:val="clear" w:color="auto" w:fill="auto"/>
            <w:vAlign w:val="center"/>
          </w:tcPr>
          <w:p w14:paraId="6234CADD" w14:textId="61F9D580" w:rsidR="00885851" w:rsidRPr="00B476EC" w:rsidRDefault="007B3C7B" w:rsidP="00190190">
            <w:pPr>
              <w:pStyle w:val="TableText"/>
            </w:pPr>
            <w:r w:rsidRPr="007B3C7B">
              <w:t>25/09/2018</w:t>
            </w:r>
          </w:p>
        </w:tc>
        <w:tc>
          <w:tcPr>
            <w:tcW w:w="2890" w:type="pct"/>
            <w:tcBorders>
              <w:left w:val="nil"/>
            </w:tcBorders>
            <w:vAlign w:val="center"/>
          </w:tcPr>
          <w:p w14:paraId="1E575BED" w14:textId="0BDAABA3" w:rsidR="00885851" w:rsidRPr="00B476EC" w:rsidRDefault="007B3C7B" w:rsidP="00190190">
            <w:pPr>
              <w:pStyle w:val="TableText"/>
            </w:pPr>
            <w:r w:rsidRPr="007B3C7B">
              <w:t>Updated following clinical and further technical review</w:t>
            </w:r>
          </w:p>
        </w:tc>
      </w:tr>
      <w:tr w:rsidR="00CA643D" w:rsidRPr="00B476EC" w14:paraId="45C02A62" w14:textId="77777777" w:rsidTr="00574E87">
        <w:trPr>
          <w:trHeight w:val="290"/>
        </w:trPr>
        <w:tc>
          <w:tcPr>
            <w:tcW w:w="1363" w:type="pct"/>
            <w:tcBorders>
              <w:right w:val="nil"/>
            </w:tcBorders>
            <w:vAlign w:val="center"/>
          </w:tcPr>
          <w:p w14:paraId="5A6DDD60" w14:textId="7186AEFE" w:rsidR="00CA643D" w:rsidRPr="00B476EC" w:rsidRDefault="007B3C7B" w:rsidP="00190190">
            <w:pPr>
              <w:pStyle w:val="TableText"/>
            </w:pPr>
            <w:r>
              <w:t>0.5</w:t>
            </w:r>
          </w:p>
        </w:tc>
        <w:tc>
          <w:tcPr>
            <w:tcW w:w="747" w:type="pct"/>
            <w:tcBorders>
              <w:left w:val="nil"/>
              <w:right w:val="nil"/>
            </w:tcBorders>
            <w:shd w:val="clear" w:color="auto" w:fill="auto"/>
            <w:vAlign w:val="center"/>
          </w:tcPr>
          <w:p w14:paraId="43D28317" w14:textId="3B9D8E07" w:rsidR="00CA643D" w:rsidRPr="00B476EC" w:rsidRDefault="007B3C7B" w:rsidP="00190190">
            <w:pPr>
              <w:pStyle w:val="TableText"/>
            </w:pPr>
            <w:r>
              <w:t>27/09/2018</w:t>
            </w:r>
          </w:p>
        </w:tc>
        <w:tc>
          <w:tcPr>
            <w:tcW w:w="2890" w:type="pct"/>
            <w:tcBorders>
              <w:left w:val="nil"/>
            </w:tcBorders>
            <w:vAlign w:val="center"/>
          </w:tcPr>
          <w:p w14:paraId="7DFBF3AD" w14:textId="7129F273" w:rsidR="00CA643D" w:rsidRPr="00B476EC" w:rsidRDefault="00E20B7C" w:rsidP="00190190">
            <w:pPr>
              <w:pStyle w:val="TableText"/>
            </w:pPr>
            <w:r>
              <w:t>Added new template and reviewed</w:t>
            </w:r>
          </w:p>
        </w:tc>
      </w:tr>
      <w:tr w:rsidR="006E4605" w:rsidRPr="00B476EC" w14:paraId="199909AE" w14:textId="77777777" w:rsidTr="00574E87">
        <w:trPr>
          <w:trHeight w:val="290"/>
        </w:trPr>
        <w:tc>
          <w:tcPr>
            <w:tcW w:w="1363" w:type="pct"/>
            <w:tcBorders>
              <w:right w:val="nil"/>
            </w:tcBorders>
            <w:vAlign w:val="center"/>
          </w:tcPr>
          <w:p w14:paraId="3B6E8F85" w14:textId="0ED1F10C" w:rsidR="006E4605" w:rsidRDefault="006E4605" w:rsidP="00190190">
            <w:pPr>
              <w:pStyle w:val="TableText"/>
            </w:pPr>
            <w:r>
              <w:t>0.6</w:t>
            </w:r>
          </w:p>
        </w:tc>
        <w:tc>
          <w:tcPr>
            <w:tcW w:w="747" w:type="pct"/>
            <w:tcBorders>
              <w:left w:val="nil"/>
              <w:right w:val="nil"/>
            </w:tcBorders>
            <w:shd w:val="clear" w:color="auto" w:fill="auto"/>
            <w:vAlign w:val="center"/>
          </w:tcPr>
          <w:p w14:paraId="1B84A654" w14:textId="2C8BDD93" w:rsidR="006E4605" w:rsidRDefault="006E4605" w:rsidP="00190190">
            <w:pPr>
              <w:pStyle w:val="TableText"/>
            </w:pPr>
            <w:r>
              <w:t>28/09/2018</w:t>
            </w:r>
          </w:p>
        </w:tc>
        <w:tc>
          <w:tcPr>
            <w:tcW w:w="2890" w:type="pct"/>
            <w:tcBorders>
              <w:left w:val="nil"/>
            </w:tcBorders>
            <w:vAlign w:val="center"/>
          </w:tcPr>
          <w:p w14:paraId="4AEDA328" w14:textId="5C76C5BE" w:rsidR="006E4605" w:rsidRDefault="006E4605" w:rsidP="00190190">
            <w:pPr>
              <w:pStyle w:val="TableText"/>
            </w:pPr>
            <w:r>
              <w:t>Baselined</w:t>
            </w:r>
          </w:p>
        </w:tc>
      </w:tr>
      <w:tr w:rsidR="005765C2" w:rsidRPr="00B476EC" w14:paraId="377884AA" w14:textId="77777777" w:rsidTr="00574E87">
        <w:trPr>
          <w:trHeight w:val="290"/>
        </w:trPr>
        <w:tc>
          <w:tcPr>
            <w:tcW w:w="1363" w:type="pct"/>
            <w:tcBorders>
              <w:right w:val="nil"/>
            </w:tcBorders>
            <w:vAlign w:val="center"/>
          </w:tcPr>
          <w:p w14:paraId="43852B8A" w14:textId="1896825C" w:rsidR="005765C2" w:rsidRDefault="005765C2" w:rsidP="00190190">
            <w:pPr>
              <w:pStyle w:val="TableText"/>
            </w:pPr>
            <w:r>
              <w:t>1.0</w:t>
            </w:r>
          </w:p>
        </w:tc>
        <w:tc>
          <w:tcPr>
            <w:tcW w:w="747" w:type="pct"/>
            <w:tcBorders>
              <w:left w:val="nil"/>
              <w:right w:val="nil"/>
            </w:tcBorders>
            <w:shd w:val="clear" w:color="auto" w:fill="auto"/>
            <w:vAlign w:val="center"/>
          </w:tcPr>
          <w:p w14:paraId="66E42E50" w14:textId="509D42BE" w:rsidR="005765C2" w:rsidRDefault="005765C2" w:rsidP="00190190">
            <w:pPr>
              <w:pStyle w:val="TableText"/>
            </w:pPr>
            <w:r>
              <w:t>09/10/2018</w:t>
            </w:r>
          </w:p>
        </w:tc>
        <w:tc>
          <w:tcPr>
            <w:tcW w:w="2890" w:type="pct"/>
            <w:tcBorders>
              <w:left w:val="nil"/>
            </w:tcBorders>
            <w:vAlign w:val="center"/>
          </w:tcPr>
          <w:p w14:paraId="5AD1A374" w14:textId="10516974" w:rsidR="005765C2" w:rsidRDefault="005765C2" w:rsidP="00190190">
            <w:pPr>
              <w:pStyle w:val="TableText"/>
            </w:pPr>
            <w:r>
              <w:t>Updated following clinical approval</w:t>
            </w:r>
          </w:p>
        </w:tc>
      </w:tr>
    </w:tbl>
    <w:p w14:paraId="7826D939" w14:textId="77777777" w:rsidR="006F6FD7" w:rsidRPr="00B476EC" w:rsidRDefault="006F6FD7" w:rsidP="00BC33FE"/>
    <w:p w14:paraId="1E472FAE" w14:textId="77777777" w:rsidR="005765C2" w:rsidRPr="0032477B" w:rsidRDefault="005765C2" w:rsidP="005765C2">
      <w:pPr>
        <w:pStyle w:val="DocMgmtSubhead"/>
      </w:pPr>
      <w:bookmarkStart w:id="2" w:name="_Toc350847281"/>
      <w:bookmarkStart w:id="3" w:name="_Toc350847325"/>
      <w:r w:rsidRPr="0032477B">
        <w:t>Reviewers</w:t>
      </w:r>
      <w:bookmarkEnd w:id="2"/>
      <w:bookmarkEnd w:id="3"/>
    </w:p>
    <w:p w14:paraId="2BFCE3F4" w14:textId="77777777" w:rsidR="005765C2" w:rsidRPr="00C318D6" w:rsidRDefault="005765C2" w:rsidP="005765C2">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5765C2" w:rsidRPr="00B476EC" w14:paraId="2AA88B20" w14:textId="77777777" w:rsidTr="00451D33">
        <w:tc>
          <w:tcPr>
            <w:tcW w:w="1860" w:type="pct"/>
            <w:tcBorders>
              <w:top w:val="single" w:sz="2" w:space="0" w:color="000000"/>
              <w:bottom w:val="single" w:sz="2" w:space="0" w:color="000000"/>
              <w:right w:val="nil"/>
            </w:tcBorders>
          </w:tcPr>
          <w:p w14:paraId="1FC1D4E5" w14:textId="77777777" w:rsidR="005765C2" w:rsidRPr="00B476EC" w:rsidRDefault="005765C2" w:rsidP="00451D33">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6A111314" w14:textId="77777777" w:rsidR="005765C2" w:rsidRPr="00B476EC" w:rsidRDefault="005765C2" w:rsidP="00451D33">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2C15E7D1" w14:textId="77777777" w:rsidR="005765C2" w:rsidRPr="00B476EC" w:rsidRDefault="005765C2" w:rsidP="00451D33">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5F6B18F0" w14:textId="77777777" w:rsidR="005765C2" w:rsidRPr="00B476EC" w:rsidRDefault="005765C2" w:rsidP="00451D33">
            <w:pPr>
              <w:pStyle w:val="TableHeader"/>
              <w:rPr>
                <w:lang w:val="en-GB"/>
              </w:rPr>
            </w:pPr>
            <w:r w:rsidRPr="00B476EC">
              <w:rPr>
                <w:lang w:val="en-GB"/>
              </w:rPr>
              <w:t>Version</w:t>
            </w:r>
          </w:p>
        </w:tc>
      </w:tr>
      <w:tr w:rsidR="005765C2" w:rsidRPr="00B476EC" w14:paraId="74F545F0" w14:textId="77777777" w:rsidTr="00451D33">
        <w:tc>
          <w:tcPr>
            <w:tcW w:w="1860" w:type="pct"/>
            <w:tcBorders>
              <w:top w:val="single" w:sz="2" w:space="0" w:color="000000"/>
              <w:right w:val="nil"/>
            </w:tcBorders>
          </w:tcPr>
          <w:p w14:paraId="1EEE1F99" w14:textId="77777777" w:rsidR="005765C2" w:rsidRPr="00B476EC" w:rsidRDefault="005765C2" w:rsidP="00451D33">
            <w:pPr>
              <w:pStyle w:val="TableText"/>
            </w:pPr>
            <w:r w:rsidRPr="00F05C3C">
              <w:t>Leo Fogarty</w:t>
            </w:r>
          </w:p>
        </w:tc>
        <w:tc>
          <w:tcPr>
            <w:tcW w:w="1239" w:type="pct"/>
            <w:tcBorders>
              <w:top w:val="single" w:sz="2" w:space="0" w:color="000000"/>
              <w:left w:val="nil"/>
              <w:right w:val="nil"/>
            </w:tcBorders>
            <w:shd w:val="clear" w:color="auto" w:fill="auto"/>
          </w:tcPr>
          <w:p w14:paraId="303EE34F" w14:textId="77777777" w:rsidR="005765C2" w:rsidRPr="00B476EC" w:rsidRDefault="005765C2" w:rsidP="00451D33">
            <w:pPr>
              <w:pStyle w:val="TableText"/>
            </w:pPr>
            <w:r w:rsidRPr="00F05C3C">
              <w:t>Clinical Safety Officer, GP2GP</w:t>
            </w:r>
          </w:p>
        </w:tc>
        <w:tc>
          <w:tcPr>
            <w:tcW w:w="937" w:type="pct"/>
            <w:tcBorders>
              <w:top w:val="single" w:sz="2" w:space="0" w:color="000000"/>
              <w:left w:val="nil"/>
              <w:right w:val="nil"/>
            </w:tcBorders>
            <w:vAlign w:val="center"/>
          </w:tcPr>
          <w:p w14:paraId="77A32669" w14:textId="77777777" w:rsidR="005765C2" w:rsidRPr="00B476EC" w:rsidRDefault="005765C2" w:rsidP="00451D33">
            <w:pPr>
              <w:pStyle w:val="TableText"/>
            </w:pPr>
          </w:p>
        </w:tc>
        <w:tc>
          <w:tcPr>
            <w:tcW w:w="964" w:type="pct"/>
            <w:tcBorders>
              <w:top w:val="single" w:sz="2" w:space="0" w:color="000000"/>
              <w:left w:val="nil"/>
            </w:tcBorders>
            <w:shd w:val="clear" w:color="auto" w:fill="auto"/>
            <w:vAlign w:val="center"/>
          </w:tcPr>
          <w:p w14:paraId="49058CBF" w14:textId="77777777" w:rsidR="005765C2" w:rsidRPr="00B476EC" w:rsidRDefault="005765C2" w:rsidP="00451D33">
            <w:pPr>
              <w:pStyle w:val="TableText"/>
            </w:pPr>
          </w:p>
        </w:tc>
      </w:tr>
      <w:tr w:rsidR="005765C2" w:rsidRPr="00B476EC" w14:paraId="4D52FF57" w14:textId="77777777" w:rsidTr="00451D33">
        <w:tc>
          <w:tcPr>
            <w:tcW w:w="1860" w:type="pct"/>
            <w:tcBorders>
              <w:right w:val="nil"/>
            </w:tcBorders>
          </w:tcPr>
          <w:p w14:paraId="0088FE21" w14:textId="77777777" w:rsidR="005765C2" w:rsidRPr="00B476EC" w:rsidRDefault="005765C2" w:rsidP="00451D33">
            <w:pPr>
              <w:pStyle w:val="TableText"/>
            </w:pPr>
            <w:r w:rsidRPr="00F05C3C">
              <w:t>Neill Jones</w:t>
            </w:r>
          </w:p>
        </w:tc>
        <w:tc>
          <w:tcPr>
            <w:tcW w:w="1239" w:type="pct"/>
            <w:tcBorders>
              <w:left w:val="nil"/>
              <w:right w:val="nil"/>
            </w:tcBorders>
            <w:shd w:val="clear" w:color="auto" w:fill="auto"/>
          </w:tcPr>
          <w:p w14:paraId="2289E7DF" w14:textId="77777777" w:rsidR="005765C2" w:rsidRPr="00B476EC" w:rsidRDefault="005765C2" w:rsidP="00451D33">
            <w:pPr>
              <w:pStyle w:val="TableText"/>
            </w:pPr>
            <w:r w:rsidRPr="00F05C3C">
              <w:t>Clinical Safety Lead, GP2GP</w:t>
            </w:r>
          </w:p>
        </w:tc>
        <w:tc>
          <w:tcPr>
            <w:tcW w:w="937" w:type="pct"/>
            <w:tcBorders>
              <w:left w:val="nil"/>
              <w:right w:val="nil"/>
            </w:tcBorders>
            <w:vAlign w:val="center"/>
          </w:tcPr>
          <w:p w14:paraId="1F910C1D" w14:textId="77777777" w:rsidR="005765C2" w:rsidRPr="00B476EC" w:rsidRDefault="005765C2" w:rsidP="00451D33">
            <w:pPr>
              <w:pStyle w:val="TableText"/>
            </w:pPr>
          </w:p>
        </w:tc>
        <w:tc>
          <w:tcPr>
            <w:tcW w:w="964" w:type="pct"/>
            <w:tcBorders>
              <w:left w:val="nil"/>
            </w:tcBorders>
            <w:shd w:val="clear" w:color="auto" w:fill="auto"/>
            <w:vAlign w:val="center"/>
          </w:tcPr>
          <w:p w14:paraId="1A8A790F" w14:textId="77777777" w:rsidR="005765C2" w:rsidRPr="00B476EC" w:rsidRDefault="005765C2" w:rsidP="00451D33">
            <w:pPr>
              <w:pStyle w:val="TableText"/>
            </w:pPr>
          </w:p>
        </w:tc>
      </w:tr>
      <w:tr w:rsidR="005765C2" w:rsidRPr="00B476EC" w14:paraId="47FF8BC7" w14:textId="77777777" w:rsidTr="00451D33">
        <w:tc>
          <w:tcPr>
            <w:tcW w:w="1860" w:type="pct"/>
            <w:tcBorders>
              <w:right w:val="nil"/>
            </w:tcBorders>
          </w:tcPr>
          <w:p w14:paraId="041A885C" w14:textId="77777777" w:rsidR="005765C2" w:rsidRPr="00B476EC" w:rsidRDefault="005765C2" w:rsidP="00451D33">
            <w:pPr>
              <w:pStyle w:val="TableText"/>
            </w:pPr>
            <w:r w:rsidRPr="00F05C3C">
              <w:t>Pete Turnbull</w:t>
            </w:r>
          </w:p>
        </w:tc>
        <w:tc>
          <w:tcPr>
            <w:tcW w:w="1239" w:type="pct"/>
            <w:tcBorders>
              <w:left w:val="nil"/>
              <w:right w:val="nil"/>
            </w:tcBorders>
            <w:shd w:val="clear" w:color="auto" w:fill="auto"/>
          </w:tcPr>
          <w:p w14:paraId="08EDE1D4" w14:textId="77777777" w:rsidR="005765C2" w:rsidRPr="00B476EC" w:rsidRDefault="005765C2" w:rsidP="00451D33">
            <w:pPr>
              <w:pStyle w:val="TableText"/>
            </w:pPr>
            <w:r w:rsidRPr="00F05C3C">
              <w:t>Interoperability Lead, SNOMED in Primary Care</w:t>
            </w:r>
          </w:p>
        </w:tc>
        <w:tc>
          <w:tcPr>
            <w:tcW w:w="937" w:type="pct"/>
            <w:tcBorders>
              <w:left w:val="nil"/>
              <w:right w:val="nil"/>
            </w:tcBorders>
            <w:vAlign w:val="center"/>
          </w:tcPr>
          <w:p w14:paraId="28FD4288" w14:textId="77777777" w:rsidR="005765C2" w:rsidRPr="00B476EC" w:rsidRDefault="005765C2" w:rsidP="00451D33">
            <w:pPr>
              <w:pStyle w:val="TableText"/>
            </w:pPr>
          </w:p>
        </w:tc>
        <w:tc>
          <w:tcPr>
            <w:tcW w:w="964" w:type="pct"/>
            <w:tcBorders>
              <w:left w:val="nil"/>
            </w:tcBorders>
            <w:shd w:val="clear" w:color="auto" w:fill="auto"/>
            <w:vAlign w:val="center"/>
          </w:tcPr>
          <w:p w14:paraId="16EE1DF2" w14:textId="77777777" w:rsidR="005765C2" w:rsidRPr="00B476EC" w:rsidRDefault="005765C2" w:rsidP="00451D33">
            <w:pPr>
              <w:pStyle w:val="TableText"/>
            </w:pPr>
          </w:p>
        </w:tc>
      </w:tr>
      <w:tr w:rsidR="005765C2" w:rsidRPr="00B476EC" w14:paraId="4BDEFB5D" w14:textId="77777777" w:rsidTr="00451D33">
        <w:tc>
          <w:tcPr>
            <w:tcW w:w="1860" w:type="pct"/>
            <w:tcBorders>
              <w:right w:val="nil"/>
            </w:tcBorders>
          </w:tcPr>
          <w:p w14:paraId="31A23A58" w14:textId="77777777" w:rsidR="005765C2" w:rsidRPr="00B476EC" w:rsidRDefault="005765C2" w:rsidP="00451D33">
            <w:pPr>
              <w:pStyle w:val="TableText"/>
            </w:pPr>
            <w:r w:rsidRPr="00F05C3C">
              <w:t>Andrew Perry</w:t>
            </w:r>
          </w:p>
        </w:tc>
        <w:tc>
          <w:tcPr>
            <w:tcW w:w="1239" w:type="pct"/>
            <w:tcBorders>
              <w:left w:val="nil"/>
              <w:right w:val="nil"/>
            </w:tcBorders>
            <w:shd w:val="clear" w:color="auto" w:fill="auto"/>
          </w:tcPr>
          <w:p w14:paraId="37A50EC5" w14:textId="77777777" w:rsidR="005765C2" w:rsidRPr="00B476EC" w:rsidRDefault="005765C2" w:rsidP="00451D33">
            <w:pPr>
              <w:pStyle w:val="TableText"/>
            </w:pPr>
            <w:r w:rsidRPr="00F05C3C">
              <w:t>UK Terminology Centre</w:t>
            </w:r>
          </w:p>
        </w:tc>
        <w:tc>
          <w:tcPr>
            <w:tcW w:w="937" w:type="pct"/>
            <w:tcBorders>
              <w:left w:val="nil"/>
              <w:right w:val="nil"/>
            </w:tcBorders>
            <w:vAlign w:val="center"/>
          </w:tcPr>
          <w:p w14:paraId="52347C5F" w14:textId="77777777" w:rsidR="005765C2" w:rsidRPr="00B476EC" w:rsidRDefault="005765C2" w:rsidP="00451D33">
            <w:pPr>
              <w:pStyle w:val="TableText"/>
            </w:pPr>
          </w:p>
        </w:tc>
        <w:tc>
          <w:tcPr>
            <w:tcW w:w="964" w:type="pct"/>
            <w:tcBorders>
              <w:left w:val="nil"/>
            </w:tcBorders>
            <w:shd w:val="clear" w:color="auto" w:fill="auto"/>
            <w:vAlign w:val="center"/>
          </w:tcPr>
          <w:p w14:paraId="42943C6D" w14:textId="77777777" w:rsidR="005765C2" w:rsidRPr="00B476EC" w:rsidRDefault="005765C2" w:rsidP="00451D33">
            <w:pPr>
              <w:pStyle w:val="TableText"/>
            </w:pPr>
          </w:p>
        </w:tc>
      </w:tr>
      <w:tr w:rsidR="005765C2" w:rsidRPr="00B476EC" w14:paraId="692AB8EF" w14:textId="77777777" w:rsidTr="00451D33">
        <w:tc>
          <w:tcPr>
            <w:tcW w:w="1860" w:type="pct"/>
            <w:tcBorders>
              <w:right w:val="nil"/>
            </w:tcBorders>
          </w:tcPr>
          <w:p w14:paraId="445DE97D" w14:textId="77777777" w:rsidR="005765C2" w:rsidRPr="00127251" w:rsidRDefault="005765C2" w:rsidP="00451D33">
            <w:pPr>
              <w:pStyle w:val="TableText"/>
            </w:pPr>
            <w:r w:rsidRPr="00127251">
              <w:t>Simon Fitzgerald</w:t>
            </w:r>
          </w:p>
        </w:tc>
        <w:tc>
          <w:tcPr>
            <w:tcW w:w="1239" w:type="pct"/>
            <w:tcBorders>
              <w:left w:val="nil"/>
              <w:right w:val="nil"/>
            </w:tcBorders>
            <w:shd w:val="clear" w:color="auto" w:fill="auto"/>
          </w:tcPr>
          <w:p w14:paraId="61D33DEB" w14:textId="77777777" w:rsidR="005765C2" w:rsidRPr="00127251" w:rsidRDefault="005765C2" w:rsidP="00451D33">
            <w:pPr>
              <w:pStyle w:val="TableText"/>
            </w:pPr>
            <w:r w:rsidRPr="00127251">
              <w:t>GP Connect Project Manager for Structured Data</w:t>
            </w:r>
          </w:p>
        </w:tc>
        <w:tc>
          <w:tcPr>
            <w:tcW w:w="937" w:type="pct"/>
            <w:tcBorders>
              <w:left w:val="nil"/>
              <w:right w:val="nil"/>
            </w:tcBorders>
            <w:vAlign w:val="center"/>
          </w:tcPr>
          <w:p w14:paraId="7FFB5495" w14:textId="77777777" w:rsidR="005765C2" w:rsidRPr="00B476EC" w:rsidRDefault="005765C2" w:rsidP="00451D33">
            <w:pPr>
              <w:pStyle w:val="TableText"/>
            </w:pPr>
          </w:p>
        </w:tc>
        <w:tc>
          <w:tcPr>
            <w:tcW w:w="964" w:type="pct"/>
            <w:tcBorders>
              <w:left w:val="nil"/>
            </w:tcBorders>
            <w:shd w:val="clear" w:color="auto" w:fill="auto"/>
            <w:vAlign w:val="center"/>
          </w:tcPr>
          <w:p w14:paraId="67E8CDC4" w14:textId="77777777" w:rsidR="005765C2" w:rsidRPr="00B476EC" w:rsidRDefault="005765C2" w:rsidP="00451D33">
            <w:pPr>
              <w:pStyle w:val="TableText"/>
            </w:pPr>
          </w:p>
        </w:tc>
      </w:tr>
      <w:tr w:rsidR="005765C2" w:rsidRPr="00B476EC" w14:paraId="67DCE894" w14:textId="77777777" w:rsidTr="00451D33">
        <w:tc>
          <w:tcPr>
            <w:tcW w:w="1860" w:type="pct"/>
            <w:tcBorders>
              <w:right w:val="nil"/>
            </w:tcBorders>
          </w:tcPr>
          <w:p w14:paraId="270595C6" w14:textId="77777777" w:rsidR="005765C2" w:rsidRPr="00127251" w:rsidRDefault="005765C2" w:rsidP="00451D33">
            <w:pPr>
              <w:pStyle w:val="TableText"/>
            </w:pPr>
            <w:r>
              <w:t>Marcus Baw</w:t>
            </w:r>
          </w:p>
        </w:tc>
        <w:tc>
          <w:tcPr>
            <w:tcW w:w="1239" w:type="pct"/>
            <w:tcBorders>
              <w:left w:val="nil"/>
              <w:right w:val="nil"/>
            </w:tcBorders>
            <w:shd w:val="clear" w:color="auto" w:fill="auto"/>
          </w:tcPr>
          <w:p w14:paraId="1C4F8474" w14:textId="77777777" w:rsidR="005765C2" w:rsidRPr="00127251" w:rsidRDefault="005765C2" w:rsidP="00451D33">
            <w:pPr>
              <w:pStyle w:val="TableText"/>
            </w:pPr>
            <w:r>
              <w:t xml:space="preserve">GP Connect and </w:t>
            </w:r>
            <w:proofErr w:type="spellStart"/>
            <w:r>
              <w:t>GPSoC</w:t>
            </w:r>
            <w:proofErr w:type="spellEnd"/>
            <w:r>
              <w:t xml:space="preserve"> Clinical Advisor</w:t>
            </w:r>
          </w:p>
        </w:tc>
        <w:tc>
          <w:tcPr>
            <w:tcW w:w="937" w:type="pct"/>
            <w:tcBorders>
              <w:left w:val="nil"/>
              <w:right w:val="nil"/>
            </w:tcBorders>
            <w:vAlign w:val="center"/>
          </w:tcPr>
          <w:p w14:paraId="31992078" w14:textId="77777777" w:rsidR="005765C2" w:rsidRPr="00B476EC" w:rsidRDefault="005765C2" w:rsidP="00451D33">
            <w:pPr>
              <w:pStyle w:val="TableText"/>
            </w:pPr>
          </w:p>
        </w:tc>
        <w:tc>
          <w:tcPr>
            <w:tcW w:w="964" w:type="pct"/>
            <w:tcBorders>
              <w:left w:val="nil"/>
            </w:tcBorders>
            <w:shd w:val="clear" w:color="auto" w:fill="auto"/>
            <w:vAlign w:val="center"/>
          </w:tcPr>
          <w:p w14:paraId="5A7F7CA0" w14:textId="77777777" w:rsidR="005765C2" w:rsidRPr="00B476EC" w:rsidRDefault="005765C2" w:rsidP="00451D33">
            <w:pPr>
              <w:pStyle w:val="TableText"/>
            </w:pPr>
          </w:p>
        </w:tc>
      </w:tr>
      <w:tr w:rsidR="005765C2" w:rsidRPr="00B476EC" w14:paraId="3022BEEA" w14:textId="77777777" w:rsidTr="00451D33">
        <w:tc>
          <w:tcPr>
            <w:tcW w:w="1860" w:type="pct"/>
            <w:tcBorders>
              <w:right w:val="nil"/>
            </w:tcBorders>
          </w:tcPr>
          <w:p w14:paraId="20D36988" w14:textId="77777777" w:rsidR="005765C2" w:rsidRPr="00127251" w:rsidRDefault="005765C2" w:rsidP="00451D33">
            <w:pPr>
              <w:pStyle w:val="TableText"/>
            </w:pPr>
            <w:r>
              <w:t>Rob Jeeves</w:t>
            </w:r>
          </w:p>
        </w:tc>
        <w:tc>
          <w:tcPr>
            <w:tcW w:w="1239" w:type="pct"/>
            <w:tcBorders>
              <w:left w:val="nil"/>
              <w:right w:val="nil"/>
            </w:tcBorders>
            <w:shd w:val="clear" w:color="auto" w:fill="auto"/>
          </w:tcPr>
          <w:p w14:paraId="6984523B" w14:textId="77777777" w:rsidR="005765C2" w:rsidRPr="00127251" w:rsidRDefault="005765C2" w:rsidP="00451D33">
            <w:pPr>
              <w:pStyle w:val="TableText"/>
            </w:pPr>
            <w:r>
              <w:t>GP Connect Clinical Advisor</w:t>
            </w:r>
          </w:p>
        </w:tc>
        <w:tc>
          <w:tcPr>
            <w:tcW w:w="937" w:type="pct"/>
            <w:tcBorders>
              <w:left w:val="nil"/>
              <w:right w:val="nil"/>
            </w:tcBorders>
            <w:vAlign w:val="center"/>
          </w:tcPr>
          <w:p w14:paraId="14539ABF" w14:textId="77777777" w:rsidR="005765C2" w:rsidRPr="00B476EC" w:rsidRDefault="005765C2" w:rsidP="00451D33">
            <w:pPr>
              <w:pStyle w:val="TableText"/>
            </w:pPr>
          </w:p>
        </w:tc>
        <w:tc>
          <w:tcPr>
            <w:tcW w:w="964" w:type="pct"/>
            <w:tcBorders>
              <w:left w:val="nil"/>
            </w:tcBorders>
            <w:shd w:val="clear" w:color="auto" w:fill="auto"/>
            <w:vAlign w:val="center"/>
          </w:tcPr>
          <w:p w14:paraId="666447C8" w14:textId="77777777" w:rsidR="005765C2" w:rsidRPr="00B476EC" w:rsidRDefault="005765C2" w:rsidP="00451D33">
            <w:pPr>
              <w:pStyle w:val="TableText"/>
            </w:pPr>
          </w:p>
        </w:tc>
      </w:tr>
      <w:tr w:rsidR="005765C2" w:rsidRPr="00B476EC" w14:paraId="468B97DA" w14:textId="77777777" w:rsidTr="00451D33">
        <w:tc>
          <w:tcPr>
            <w:tcW w:w="1860" w:type="pct"/>
            <w:tcBorders>
              <w:right w:val="nil"/>
            </w:tcBorders>
          </w:tcPr>
          <w:p w14:paraId="4002E921" w14:textId="77777777" w:rsidR="005765C2" w:rsidRPr="00127251" w:rsidRDefault="005765C2" w:rsidP="00451D33">
            <w:pPr>
              <w:pStyle w:val="TableText"/>
            </w:pPr>
          </w:p>
        </w:tc>
        <w:tc>
          <w:tcPr>
            <w:tcW w:w="1239" w:type="pct"/>
            <w:tcBorders>
              <w:left w:val="nil"/>
              <w:right w:val="nil"/>
            </w:tcBorders>
            <w:shd w:val="clear" w:color="auto" w:fill="auto"/>
          </w:tcPr>
          <w:p w14:paraId="4AB673D3" w14:textId="77777777" w:rsidR="005765C2" w:rsidRPr="00127251" w:rsidRDefault="005765C2" w:rsidP="00451D33">
            <w:pPr>
              <w:pStyle w:val="TableText"/>
            </w:pPr>
          </w:p>
        </w:tc>
        <w:tc>
          <w:tcPr>
            <w:tcW w:w="937" w:type="pct"/>
            <w:tcBorders>
              <w:left w:val="nil"/>
              <w:right w:val="nil"/>
            </w:tcBorders>
            <w:vAlign w:val="center"/>
          </w:tcPr>
          <w:p w14:paraId="54864183" w14:textId="77777777" w:rsidR="005765C2" w:rsidRPr="00B476EC" w:rsidRDefault="005765C2" w:rsidP="00451D33">
            <w:pPr>
              <w:pStyle w:val="TableText"/>
            </w:pPr>
          </w:p>
        </w:tc>
        <w:tc>
          <w:tcPr>
            <w:tcW w:w="964" w:type="pct"/>
            <w:tcBorders>
              <w:left w:val="nil"/>
            </w:tcBorders>
            <w:shd w:val="clear" w:color="auto" w:fill="auto"/>
            <w:vAlign w:val="center"/>
          </w:tcPr>
          <w:p w14:paraId="3D8C32F4" w14:textId="77777777" w:rsidR="005765C2" w:rsidRPr="00B476EC" w:rsidRDefault="005765C2" w:rsidP="00451D33">
            <w:pPr>
              <w:pStyle w:val="TableText"/>
            </w:pPr>
          </w:p>
        </w:tc>
      </w:tr>
    </w:tbl>
    <w:p w14:paraId="744D5E88" w14:textId="77777777" w:rsidR="005765C2" w:rsidRPr="00B476EC" w:rsidRDefault="005765C2" w:rsidP="005765C2"/>
    <w:p w14:paraId="57308D87" w14:textId="77777777" w:rsidR="005765C2" w:rsidRPr="0032477B" w:rsidRDefault="005765C2" w:rsidP="005765C2">
      <w:pPr>
        <w:pStyle w:val="DocMgmtSubhead"/>
      </w:pPr>
      <w:bookmarkStart w:id="4" w:name="_Toc350847282"/>
      <w:bookmarkStart w:id="5" w:name="_Toc350847326"/>
      <w:r w:rsidRPr="0032477B">
        <w:t>Approved by</w:t>
      </w:r>
      <w:bookmarkEnd w:id="4"/>
      <w:bookmarkEnd w:id="5"/>
    </w:p>
    <w:p w14:paraId="7CB25346" w14:textId="77777777" w:rsidR="005765C2" w:rsidRPr="00B476EC" w:rsidRDefault="005765C2" w:rsidP="005765C2">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5765C2" w:rsidRPr="00B476EC" w14:paraId="7205FD2C" w14:textId="77777777" w:rsidTr="00451D33">
        <w:trPr>
          <w:trHeight w:val="290"/>
        </w:trPr>
        <w:tc>
          <w:tcPr>
            <w:tcW w:w="1356" w:type="pct"/>
            <w:tcBorders>
              <w:top w:val="single" w:sz="2" w:space="0" w:color="000000"/>
              <w:bottom w:val="single" w:sz="2" w:space="0" w:color="000000"/>
            </w:tcBorders>
          </w:tcPr>
          <w:p w14:paraId="60319F76" w14:textId="77777777" w:rsidR="005765C2" w:rsidRPr="00B476EC" w:rsidRDefault="005765C2" w:rsidP="00451D33">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6ABF5598" w14:textId="77777777" w:rsidR="005765C2" w:rsidRPr="00B476EC" w:rsidRDefault="005765C2" w:rsidP="00451D33">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9439F5B" w14:textId="77777777" w:rsidR="005765C2" w:rsidRPr="00B476EC" w:rsidRDefault="005765C2" w:rsidP="00451D33">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4245388E" w14:textId="77777777" w:rsidR="005765C2" w:rsidRPr="00B476EC" w:rsidRDefault="005765C2" w:rsidP="00451D33">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749778E6" w14:textId="77777777" w:rsidR="005765C2" w:rsidRPr="00B476EC" w:rsidRDefault="005765C2" w:rsidP="00451D33">
            <w:pPr>
              <w:pStyle w:val="TableHeader"/>
              <w:rPr>
                <w:lang w:val="en-GB"/>
              </w:rPr>
            </w:pPr>
            <w:r w:rsidRPr="00B476EC">
              <w:rPr>
                <w:lang w:val="en-GB"/>
              </w:rPr>
              <w:t>Version</w:t>
            </w:r>
          </w:p>
        </w:tc>
      </w:tr>
      <w:tr w:rsidR="005765C2" w:rsidRPr="00B476EC" w14:paraId="193B765E" w14:textId="77777777" w:rsidTr="00451D33">
        <w:trPr>
          <w:trHeight w:val="290"/>
        </w:trPr>
        <w:tc>
          <w:tcPr>
            <w:tcW w:w="1356" w:type="pct"/>
            <w:tcBorders>
              <w:top w:val="single" w:sz="2" w:space="0" w:color="000000"/>
              <w:right w:val="nil"/>
            </w:tcBorders>
          </w:tcPr>
          <w:p w14:paraId="6ACE774B" w14:textId="77777777" w:rsidR="005765C2" w:rsidRPr="00B476EC" w:rsidRDefault="005765C2" w:rsidP="00451D33">
            <w:pPr>
              <w:pStyle w:val="TableText"/>
            </w:pPr>
            <w:r>
              <w:t>Neill Jones</w:t>
            </w:r>
          </w:p>
        </w:tc>
        <w:tc>
          <w:tcPr>
            <w:tcW w:w="1133" w:type="pct"/>
            <w:tcBorders>
              <w:top w:val="single" w:sz="2" w:space="0" w:color="000000"/>
              <w:left w:val="nil"/>
              <w:right w:val="nil"/>
            </w:tcBorders>
          </w:tcPr>
          <w:p w14:paraId="0DC37142" w14:textId="77777777" w:rsidR="005765C2" w:rsidRPr="00B476EC" w:rsidRDefault="005765C2" w:rsidP="00451D33">
            <w:pPr>
              <w:pStyle w:val="TableText"/>
            </w:pPr>
          </w:p>
        </w:tc>
        <w:tc>
          <w:tcPr>
            <w:tcW w:w="1194" w:type="pct"/>
            <w:tcBorders>
              <w:top w:val="single" w:sz="2" w:space="0" w:color="000000"/>
              <w:left w:val="nil"/>
              <w:right w:val="nil"/>
            </w:tcBorders>
          </w:tcPr>
          <w:p w14:paraId="1DDCB1F1" w14:textId="77777777" w:rsidR="005765C2" w:rsidRPr="00B476EC" w:rsidRDefault="005765C2" w:rsidP="00451D33">
            <w:pPr>
              <w:pStyle w:val="TableText"/>
            </w:pPr>
            <w:r>
              <w:t xml:space="preserve">GP2GP </w:t>
            </w:r>
            <w:r w:rsidRPr="00482B5B">
              <w:t xml:space="preserve">Clinical </w:t>
            </w:r>
            <w:r>
              <w:t>Lead</w:t>
            </w:r>
          </w:p>
        </w:tc>
        <w:tc>
          <w:tcPr>
            <w:tcW w:w="732" w:type="pct"/>
            <w:tcBorders>
              <w:top w:val="single" w:sz="2" w:space="0" w:color="000000"/>
              <w:left w:val="nil"/>
              <w:right w:val="nil"/>
            </w:tcBorders>
            <w:vAlign w:val="center"/>
          </w:tcPr>
          <w:p w14:paraId="36A33089" w14:textId="77777777" w:rsidR="005765C2" w:rsidRPr="00B476EC" w:rsidRDefault="005765C2" w:rsidP="00451D33">
            <w:pPr>
              <w:pStyle w:val="TableText"/>
            </w:pPr>
          </w:p>
        </w:tc>
        <w:tc>
          <w:tcPr>
            <w:tcW w:w="585" w:type="pct"/>
            <w:tcBorders>
              <w:top w:val="single" w:sz="2" w:space="0" w:color="000000"/>
              <w:left w:val="nil"/>
            </w:tcBorders>
            <w:vAlign w:val="center"/>
          </w:tcPr>
          <w:p w14:paraId="2D89C446" w14:textId="77777777" w:rsidR="005765C2" w:rsidRPr="00B476EC" w:rsidRDefault="005765C2" w:rsidP="00451D33">
            <w:pPr>
              <w:pStyle w:val="TableText"/>
            </w:pPr>
          </w:p>
        </w:tc>
      </w:tr>
      <w:tr w:rsidR="005765C2" w:rsidRPr="00B476EC" w14:paraId="370746F7" w14:textId="77777777" w:rsidTr="00451D33">
        <w:trPr>
          <w:trHeight w:val="290"/>
        </w:trPr>
        <w:tc>
          <w:tcPr>
            <w:tcW w:w="1356" w:type="pct"/>
            <w:tcBorders>
              <w:right w:val="nil"/>
            </w:tcBorders>
          </w:tcPr>
          <w:p w14:paraId="1938ABD3" w14:textId="77777777" w:rsidR="005765C2" w:rsidRPr="00B476EC" w:rsidRDefault="005765C2" w:rsidP="00451D33">
            <w:pPr>
              <w:pStyle w:val="TableText"/>
            </w:pPr>
            <w:r>
              <w:t>Marcus Baw</w:t>
            </w:r>
          </w:p>
        </w:tc>
        <w:tc>
          <w:tcPr>
            <w:tcW w:w="1133" w:type="pct"/>
            <w:tcBorders>
              <w:left w:val="nil"/>
              <w:right w:val="nil"/>
            </w:tcBorders>
          </w:tcPr>
          <w:p w14:paraId="2E246F8E" w14:textId="77777777" w:rsidR="005765C2" w:rsidRPr="00B476EC" w:rsidRDefault="005765C2" w:rsidP="00451D33">
            <w:pPr>
              <w:pStyle w:val="TableText"/>
            </w:pPr>
          </w:p>
        </w:tc>
        <w:tc>
          <w:tcPr>
            <w:tcW w:w="1194" w:type="pct"/>
            <w:tcBorders>
              <w:left w:val="nil"/>
              <w:right w:val="nil"/>
            </w:tcBorders>
          </w:tcPr>
          <w:p w14:paraId="46D87360" w14:textId="77777777" w:rsidR="005765C2" w:rsidRPr="00B476EC" w:rsidRDefault="005765C2" w:rsidP="00451D33">
            <w:pPr>
              <w:pStyle w:val="TableText"/>
            </w:pPr>
            <w:r>
              <w:t xml:space="preserve">GP Connect and </w:t>
            </w:r>
            <w:proofErr w:type="spellStart"/>
            <w:r>
              <w:t>GPSoC</w:t>
            </w:r>
            <w:proofErr w:type="spellEnd"/>
            <w:r>
              <w:t xml:space="preserve"> Clinical Advisor</w:t>
            </w:r>
          </w:p>
        </w:tc>
        <w:tc>
          <w:tcPr>
            <w:tcW w:w="732" w:type="pct"/>
            <w:tcBorders>
              <w:left w:val="nil"/>
              <w:right w:val="nil"/>
            </w:tcBorders>
            <w:vAlign w:val="center"/>
          </w:tcPr>
          <w:p w14:paraId="78CF0D14" w14:textId="77777777" w:rsidR="005765C2" w:rsidRPr="00B476EC" w:rsidRDefault="005765C2" w:rsidP="00451D33">
            <w:pPr>
              <w:pStyle w:val="TableText"/>
            </w:pPr>
          </w:p>
        </w:tc>
        <w:tc>
          <w:tcPr>
            <w:tcW w:w="585" w:type="pct"/>
            <w:tcBorders>
              <w:left w:val="nil"/>
            </w:tcBorders>
            <w:vAlign w:val="center"/>
          </w:tcPr>
          <w:p w14:paraId="3A35A4FD" w14:textId="77777777" w:rsidR="005765C2" w:rsidRPr="00B476EC" w:rsidRDefault="005765C2" w:rsidP="00451D33">
            <w:pPr>
              <w:pStyle w:val="TableText"/>
            </w:pPr>
          </w:p>
        </w:tc>
      </w:tr>
    </w:tbl>
    <w:p w14:paraId="42AC0617" w14:textId="77777777" w:rsidR="009C1371" w:rsidRPr="00B476EC" w:rsidRDefault="009C1371" w:rsidP="00BC33FE"/>
    <w:p w14:paraId="5C728B80" w14:textId="77777777" w:rsidR="006F6FD7" w:rsidRPr="0032477B" w:rsidRDefault="00AF0245" w:rsidP="0032477B">
      <w:pPr>
        <w:pStyle w:val="DocMgmtSubhead"/>
      </w:pPr>
      <w:bookmarkStart w:id="6" w:name="_Toc350847283"/>
      <w:bookmarkStart w:id="7" w:name="_Toc350847327"/>
      <w:r w:rsidRPr="0032477B">
        <w:lastRenderedPageBreak/>
        <w:t>Glossary of Terms</w:t>
      </w:r>
      <w:bookmarkEnd w:id="6"/>
      <w:bookmarkEnd w:id="7"/>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1CF30D6B" w14:textId="77777777" w:rsidTr="003841DF">
        <w:trPr>
          <w:tblHeader/>
        </w:trPr>
        <w:tc>
          <w:tcPr>
            <w:tcW w:w="1373" w:type="pct"/>
            <w:tcBorders>
              <w:top w:val="single" w:sz="2" w:space="0" w:color="000000"/>
              <w:bottom w:val="single" w:sz="2" w:space="0" w:color="000000"/>
            </w:tcBorders>
          </w:tcPr>
          <w:p w14:paraId="315EA3F6"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16C4F4E1" w14:textId="77777777" w:rsidR="004537AB" w:rsidRPr="00B476EC" w:rsidRDefault="004537AB" w:rsidP="00BC33FE">
            <w:pPr>
              <w:pStyle w:val="TableHeader"/>
              <w:rPr>
                <w:lang w:val="en-GB"/>
              </w:rPr>
            </w:pPr>
            <w:r w:rsidRPr="00B476EC">
              <w:rPr>
                <w:lang w:val="en-GB"/>
              </w:rPr>
              <w:t>What it stands for</w:t>
            </w:r>
          </w:p>
        </w:tc>
      </w:tr>
      <w:tr w:rsidR="00773A41" w:rsidRPr="00B476EC" w14:paraId="6960AC32" w14:textId="77777777" w:rsidTr="00190190">
        <w:tc>
          <w:tcPr>
            <w:tcW w:w="1373" w:type="pct"/>
            <w:vAlign w:val="center"/>
          </w:tcPr>
          <w:p w14:paraId="36177A64" w14:textId="77777777" w:rsidR="00773A41" w:rsidRPr="00B476EC" w:rsidRDefault="00773A41" w:rsidP="00AD78A7">
            <w:pPr>
              <w:pStyle w:val="TableText"/>
            </w:pPr>
            <w:r>
              <w:t>AMP</w:t>
            </w:r>
          </w:p>
        </w:tc>
        <w:tc>
          <w:tcPr>
            <w:tcW w:w="3627" w:type="pct"/>
            <w:vAlign w:val="center"/>
          </w:tcPr>
          <w:p w14:paraId="3DBF27A5" w14:textId="77777777" w:rsidR="00773A41" w:rsidRPr="00B476EC" w:rsidRDefault="00773A41" w:rsidP="00AD78A7">
            <w:pPr>
              <w:pStyle w:val="TableText"/>
            </w:pPr>
            <w:r>
              <w:rPr>
                <w:rFonts w:cs="Arial"/>
                <w:color w:val="000000"/>
                <w:sz w:val="20"/>
                <w:szCs w:val="20"/>
                <w:shd w:val="clear" w:color="auto" w:fill="FFFFFF"/>
              </w:rPr>
              <w:t>Actual Medicinal Product</w:t>
            </w:r>
          </w:p>
        </w:tc>
      </w:tr>
      <w:tr w:rsidR="00773A41" w:rsidRPr="00B476EC" w14:paraId="67078338" w14:textId="77777777" w:rsidTr="00190190">
        <w:tc>
          <w:tcPr>
            <w:tcW w:w="1373" w:type="pct"/>
            <w:vAlign w:val="center"/>
          </w:tcPr>
          <w:p w14:paraId="3CBAF067" w14:textId="77777777" w:rsidR="00773A41" w:rsidRPr="00B476EC" w:rsidRDefault="00773A41" w:rsidP="00AD78A7">
            <w:pPr>
              <w:pStyle w:val="TableText"/>
            </w:pPr>
            <w:r>
              <w:t>Archetype</w:t>
            </w:r>
          </w:p>
        </w:tc>
        <w:tc>
          <w:tcPr>
            <w:tcW w:w="3627" w:type="pct"/>
            <w:vAlign w:val="center"/>
          </w:tcPr>
          <w:p w14:paraId="6AA56B05" w14:textId="77777777" w:rsidR="00773A41" w:rsidRPr="00B476EC" w:rsidRDefault="00773A41" w:rsidP="00AD78A7">
            <w:pPr>
              <w:pStyle w:val="TableText"/>
            </w:pPr>
            <w:r>
              <w:rPr>
                <w:rFonts w:cs="Arial"/>
                <w:color w:val="000000"/>
                <w:sz w:val="20"/>
                <w:szCs w:val="20"/>
                <w:shd w:val="clear" w:color="auto" w:fill="FFFFFF"/>
              </w:rPr>
              <w:t>A formal re-usable model of a domain concept.</w:t>
            </w:r>
          </w:p>
        </w:tc>
      </w:tr>
      <w:tr w:rsidR="00773A41" w:rsidRPr="00B476EC" w14:paraId="53160378" w14:textId="77777777" w:rsidTr="00190190">
        <w:tc>
          <w:tcPr>
            <w:tcW w:w="1373" w:type="pct"/>
            <w:vAlign w:val="center"/>
          </w:tcPr>
          <w:p w14:paraId="2641E478" w14:textId="77777777" w:rsidR="00773A41" w:rsidRPr="00B476EC" w:rsidRDefault="00773A41" w:rsidP="00AD78A7">
            <w:pPr>
              <w:pStyle w:val="TableText"/>
            </w:pPr>
            <w:proofErr w:type="spellStart"/>
            <w:r>
              <w:t>dm+d</w:t>
            </w:r>
            <w:proofErr w:type="spellEnd"/>
          </w:p>
        </w:tc>
        <w:tc>
          <w:tcPr>
            <w:tcW w:w="3627" w:type="pct"/>
            <w:vAlign w:val="center"/>
          </w:tcPr>
          <w:p w14:paraId="48E6A35D" w14:textId="77777777" w:rsidR="00773A41" w:rsidRPr="00B476EC" w:rsidRDefault="00773A41" w:rsidP="00AD78A7">
            <w:pPr>
              <w:pStyle w:val="TableText"/>
            </w:pPr>
            <w:r>
              <w:rPr>
                <w:rFonts w:cs="Arial"/>
                <w:color w:val="000000"/>
                <w:sz w:val="20"/>
                <w:szCs w:val="20"/>
                <w:shd w:val="clear" w:color="auto" w:fill="FFFFFF"/>
              </w:rPr>
              <w:t>Dictionary of medications and devices is a UK terminology system published by TRUD.</w:t>
            </w:r>
          </w:p>
        </w:tc>
      </w:tr>
      <w:tr w:rsidR="00773A41" w:rsidRPr="00B476EC" w14:paraId="274C266F" w14:textId="77777777" w:rsidTr="00190190">
        <w:tc>
          <w:tcPr>
            <w:tcW w:w="1373" w:type="pct"/>
            <w:vAlign w:val="center"/>
          </w:tcPr>
          <w:p w14:paraId="0E9006E3" w14:textId="77777777" w:rsidR="00773A41" w:rsidRPr="00B476EC" w:rsidRDefault="00773A41" w:rsidP="00AD78A7">
            <w:pPr>
              <w:pStyle w:val="TableText"/>
            </w:pPr>
            <w:r>
              <w:t>FHIR</w:t>
            </w:r>
          </w:p>
        </w:tc>
        <w:tc>
          <w:tcPr>
            <w:tcW w:w="3627" w:type="pct"/>
            <w:vAlign w:val="center"/>
          </w:tcPr>
          <w:p w14:paraId="4664E258" w14:textId="77777777" w:rsidR="00773A41" w:rsidRPr="00B476EC" w:rsidRDefault="00773A41" w:rsidP="00AD78A7">
            <w:pPr>
              <w:pStyle w:val="TableText"/>
            </w:pPr>
            <w:r>
              <w:rPr>
                <w:rFonts w:cs="Arial"/>
                <w:color w:val="000000"/>
                <w:sz w:val="20"/>
                <w:szCs w:val="20"/>
                <w:shd w:val="clear" w:color="auto" w:fill="FFFFFF"/>
              </w:rPr>
              <w:t>Fast Healthcare Interoperable Resources is a healthcare interoperability standard supported by HL7.</w:t>
            </w:r>
          </w:p>
        </w:tc>
      </w:tr>
      <w:tr w:rsidR="00773A41" w:rsidRPr="00B476EC" w14:paraId="41AF9DBD" w14:textId="77777777" w:rsidTr="00190190">
        <w:tc>
          <w:tcPr>
            <w:tcW w:w="1373" w:type="pct"/>
            <w:tcBorders>
              <w:top w:val="single" w:sz="2" w:space="0" w:color="000000"/>
            </w:tcBorders>
            <w:vAlign w:val="center"/>
          </w:tcPr>
          <w:p w14:paraId="2F6B2959" w14:textId="77777777" w:rsidR="00773A41" w:rsidRPr="00B476EC" w:rsidRDefault="00773A41" w:rsidP="00AD78A7">
            <w:pPr>
              <w:pStyle w:val="TableText"/>
            </w:pPr>
            <w:r>
              <w:t>GP2GP</w:t>
            </w:r>
          </w:p>
        </w:tc>
        <w:tc>
          <w:tcPr>
            <w:tcW w:w="3627" w:type="pct"/>
            <w:tcBorders>
              <w:top w:val="single" w:sz="2" w:space="0" w:color="000000"/>
            </w:tcBorders>
            <w:vAlign w:val="center"/>
          </w:tcPr>
          <w:p w14:paraId="3D1DF793" w14:textId="77777777" w:rsidR="00773A41" w:rsidRPr="00B476EC" w:rsidRDefault="00773A41" w:rsidP="00AD78A7">
            <w:pPr>
              <w:pStyle w:val="TableText"/>
            </w:pPr>
            <w:r>
              <w:t>Electronic transfer of a patient’s electronic health record between two general practices.</w:t>
            </w:r>
          </w:p>
        </w:tc>
      </w:tr>
      <w:tr w:rsidR="00773A41" w:rsidRPr="00B476EC" w14:paraId="41BBFCDE" w14:textId="77777777" w:rsidTr="00190190">
        <w:tc>
          <w:tcPr>
            <w:tcW w:w="1373" w:type="pct"/>
            <w:vAlign w:val="center"/>
          </w:tcPr>
          <w:p w14:paraId="0943459D" w14:textId="77777777" w:rsidR="00773A41" w:rsidRPr="00B476EC" w:rsidRDefault="00773A41" w:rsidP="00AD78A7">
            <w:pPr>
              <w:pStyle w:val="TableText"/>
            </w:pPr>
            <w:proofErr w:type="spellStart"/>
            <w:r>
              <w:t>GPSoC</w:t>
            </w:r>
            <w:proofErr w:type="spellEnd"/>
          </w:p>
        </w:tc>
        <w:tc>
          <w:tcPr>
            <w:tcW w:w="3627" w:type="pct"/>
            <w:vAlign w:val="center"/>
          </w:tcPr>
          <w:p w14:paraId="74D2455D" w14:textId="77777777" w:rsidR="00773A41" w:rsidRPr="00B476EC" w:rsidRDefault="00773A41" w:rsidP="00AD78A7">
            <w:pPr>
              <w:pStyle w:val="TableText"/>
            </w:pPr>
            <w:r>
              <w:t>General Practice Systems of Choice framework</w:t>
            </w:r>
          </w:p>
        </w:tc>
      </w:tr>
      <w:tr w:rsidR="00773A41" w:rsidRPr="00B476EC" w14:paraId="76C0AD63" w14:textId="77777777" w:rsidTr="00190190">
        <w:tc>
          <w:tcPr>
            <w:tcW w:w="1373" w:type="pct"/>
            <w:vAlign w:val="center"/>
          </w:tcPr>
          <w:p w14:paraId="63E0A2B1" w14:textId="77777777" w:rsidR="00773A41" w:rsidRPr="00B476EC" w:rsidRDefault="00773A41" w:rsidP="00AD78A7">
            <w:pPr>
              <w:pStyle w:val="TableText"/>
            </w:pPr>
            <w:r>
              <w:t>SNOMED-CT</w:t>
            </w:r>
          </w:p>
        </w:tc>
        <w:tc>
          <w:tcPr>
            <w:tcW w:w="3627" w:type="pct"/>
            <w:vAlign w:val="center"/>
          </w:tcPr>
          <w:p w14:paraId="3BCE5C88" w14:textId="3332B496" w:rsidR="00773A41" w:rsidRPr="00B476EC" w:rsidRDefault="00773A41" w:rsidP="00AD78A7">
            <w:pPr>
              <w:pStyle w:val="TableText"/>
            </w:pPr>
            <w:r w:rsidRPr="00347EAE">
              <w:rPr>
                <w:b/>
                <w:bCs/>
              </w:rPr>
              <w:t>S</w:t>
            </w:r>
            <w:r w:rsidRPr="00347EAE">
              <w:t>ystematized</w:t>
            </w:r>
            <w:r>
              <w:t xml:space="preserve"> </w:t>
            </w:r>
            <w:r w:rsidRPr="00347EAE">
              <w:rPr>
                <w:b/>
                <w:bCs/>
              </w:rPr>
              <w:t>No</w:t>
            </w:r>
            <w:r w:rsidRPr="00347EAE">
              <w:t>menclature Of</w:t>
            </w:r>
            <w:r>
              <w:t xml:space="preserve"> </w:t>
            </w:r>
            <w:r w:rsidRPr="00347EAE">
              <w:rPr>
                <w:b/>
                <w:bCs/>
              </w:rPr>
              <w:t>Med</w:t>
            </w:r>
            <w:r w:rsidRPr="00347EAE">
              <w:t>icine</w:t>
            </w:r>
            <w:r>
              <w:t xml:space="preserve"> </w:t>
            </w:r>
            <w:r w:rsidRPr="00347EAE">
              <w:rPr>
                <w:b/>
                <w:bCs/>
              </w:rPr>
              <w:t>C</w:t>
            </w:r>
            <w:r w:rsidRPr="00347EAE">
              <w:t>linical</w:t>
            </w:r>
            <w:r>
              <w:t xml:space="preserve"> </w:t>
            </w:r>
            <w:r w:rsidRPr="00347EAE">
              <w:rPr>
                <w:b/>
                <w:bCs/>
              </w:rPr>
              <w:t>T</w:t>
            </w:r>
            <w:r w:rsidRPr="00347EAE">
              <w:t>erms is a systematically organised computer processable collection of</w:t>
            </w:r>
            <w:r>
              <w:t xml:space="preserve"> </w:t>
            </w:r>
            <w:hyperlink r:id="rId18" w:tooltip="Medical terms" w:history="1">
              <w:r w:rsidRPr="00B715AA">
                <w:rPr>
                  <w:rStyle w:val="Hyperlink"/>
                  <w:u w:val="single"/>
                </w:rPr>
                <w:t>medical terms</w:t>
              </w:r>
            </w:hyperlink>
            <w:r>
              <w:rPr>
                <w:rStyle w:val="Hyperlink"/>
              </w:rPr>
              <w:t xml:space="preserve"> </w:t>
            </w:r>
            <w:r w:rsidRPr="00347EAE">
              <w:t>providing codes, terms, synonyms and definitions used in clinical documentation and reporting.</w:t>
            </w:r>
          </w:p>
        </w:tc>
      </w:tr>
      <w:tr w:rsidR="00773A41" w:rsidRPr="00B476EC" w14:paraId="05F86876" w14:textId="77777777" w:rsidTr="00190190">
        <w:tc>
          <w:tcPr>
            <w:tcW w:w="1373" w:type="pct"/>
            <w:vAlign w:val="center"/>
          </w:tcPr>
          <w:p w14:paraId="58C8A2F4" w14:textId="77777777" w:rsidR="00773A41" w:rsidRPr="00B476EC" w:rsidRDefault="00773A41" w:rsidP="00AD78A7">
            <w:pPr>
              <w:pStyle w:val="TableText"/>
            </w:pPr>
            <w:r>
              <w:t>TRUD</w:t>
            </w:r>
          </w:p>
        </w:tc>
        <w:tc>
          <w:tcPr>
            <w:tcW w:w="3627" w:type="pct"/>
            <w:vAlign w:val="center"/>
          </w:tcPr>
          <w:p w14:paraId="24204B60" w14:textId="77777777" w:rsidR="00773A41" w:rsidRPr="00B476EC" w:rsidRDefault="00773A41" w:rsidP="00AD78A7">
            <w:pPr>
              <w:pStyle w:val="TableText"/>
            </w:pPr>
            <w:r w:rsidRPr="007F0512">
              <w:rPr>
                <w:rFonts w:cs="Arial"/>
                <w:color w:val="000000"/>
                <w:sz w:val="20"/>
                <w:szCs w:val="20"/>
                <w:shd w:val="clear" w:color="auto" w:fill="FFFFFF"/>
              </w:rPr>
              <w:t>Technology Reference data Update Distribution</w:t>
            </w:r>
            <w:r>
              <w:rPr>
                <w:rFonts w:cs="Arial"/>
                <w:color w:val="000000"/>
                <w:sz w:val="20"/>
                <w:szCs w:val="20"/>
                <w:shd w:val="clear" w:color="auto" w:fill="FFFFFF"/>
              </w:rPr>
              <w:t xml:space="preserve"> is a service provided by the UK terminology centre at NHS Digital to provide updates to terminology.</w:t>
            </w:r>
          </w:p>
        </w:tc>
      </w:tr>
      <w:tr w:rsidR="00773A41" w:rsidRPr="00B476EC" w14:paraId="50E71A10" w14:textId="77777777" w:rsidTr="00190190">
        <w:tc>
          <w:tcPr>
            <w:tcW w:w="1373" w:type="pct"/>
            <w:vAlign w:val="center"/>
          </w:tcPr>
          <w:p w14:paraId="25CC2E64" w14:textId="77777777" w:rsidR="00773A41" w:rsidRPr="00B476EC" w:rsidRDefault="00773A41" w:rsidP="00AD78A7">
            <w:pPr>
              <w:pStyle w:val="TableText"/>
            </w:pPr>
            <w:r>
              <w:t>VMP</w:t>
            </w:r>
          </w:p>
        </w:tc>
        <w:tc>
          <w:tcPr>
            <w:tcW w:w="3627" w:type="pct"/>
            <w:vAlign w:val="center"/>
          </w:tcPr>
          <w:p w14:paraId="251C7CA9" w14:textId="77777777" w:rsidR="00773A41" w:rsidRPr="00B476EC" w:rsidRDefault="00773A41" w:rsidP="00AD78A7">
            <w:pPr>
              <w:pStyle w:val="TableText"/>
            </w:pPr>
            <w:r>
              <w:rPr>
                <w:rFonts w:cs="Arial"/>
                <w:color w:val="000000"/>
                <w:sz w:val="20"/>
                <w:szCs w:val="20"/>
                <w:shd w:val="clear" w:color="auto" w:fill="FFFFFF"/>
              </w:rPr>
              <w:t>Virtual Medicinal Product</w:t>
            </w:r>
          </w:p>
        </w:tc>
      </w:tr>
      <w:tr w:rsidR="00773A41" w:rsidRPr="00B476EC" w14:paraId="2FD9E56C" w14:textId="77777777" w:rsidTr="00190190">
        <w:tc>
          <w:tcPr>
            <w:tcW w:w="1373" w:type="pct"/>
            <w:vAlign w:val="center"/>
          </w:tcPr>
          <w:p w14:paraId="4CDFBA45" w14:textId="77777777" w:rsidR="00773A41" w:rsidRPr="00B476EC" w:rsidRDefault="00773A41" w:rsidP="00AD78A7">
            <w:pPr>
              <w:pStyle w:val="TableText"/>
            </w:pPr>
            <w:r>
              <w:t>VTM</w:t>
            </w:r>
          </w:p>
        </w:tc>
        <w:tc>
          <w:tcPr>
            <w:tcW w:w="3627" w:type="pct"/>
            <w:vAlign w:val="center"/>
          </w:tcPr>
          <w:p w14:paraId="3DF9B678" w14:textId="77777777" w:rsidR="00773A41" w:rsidRPr="00B476EC" w:rsidRDefault="00773A41" w:rsidP="00AD78A7">
            <w:pPr>
              <w:pStyle w:val="TableText"/>
            </w:pPr>
            <w:r>
              <w:rPr>
                <w:rFonts w:cs="Arial"/>
                <w:color w:val="000000"/>
                <w:sz w:val="20"/>
                <w:szCs w:val="20"/>
                <w:shd w:val="clear" w:color="auto" w:fill="FFFFFF"/>
              </w:rPr>
              <w:t>Virtual Therapeutic Moiety</w:t>
            </w:r>
          </w:p>
        </w:tc>
      </w:tr>
    </w:tbl>
    <w:p w14:paraId="4E9E9F80" w14:textId="77777777" w:rsidR="00111B55" w:rsidRDefault="00111B55" w:rsidP="00111B55"/>
    <w:p w14:paraId="3659D142" w14:textId="77777777" w:rsidR="00111B55" w:rsidRDefault="00111B55" w:rsidP="00111B55">
      <w:pPr>
        <w:pStyle w:val="DocMgmtSubhead"/>
      </w:pPr>
      <w:r>
        <w:t>References</w:t>
      </w:r>
    </w:p>
    <w:tbl>
      <w:tblPr>
        <w:tblW w:w="5000" w:type="pct"/>
        <w:tblBorders>
          <w:top w:val="single" w:sz="2" w:space="0" w:color="B9B9B9"/>
          <w:bottom w:val="single" w:sz="2" w:space="0" w:color="B9B9B9"/>
          <w:insideH w:val="single" w:sz="2" w:space="0" w:color="B9B9B9"/>
        </w:tblBorders>
        <w:tblLook w:val="04A0" w:firstRow="1" w:lastRow="0" w:firstColumn="1" w:lastColumn="0" w:noHBand="0" w:noVBand="1"/>
      </w:tblPr>
      <w:tblGrid>
        <w:gridCol w:w="1570"/>
        <w:gridCol w:w="5518"/>
        <w:gridCol w:w="2776"/>
      </w:tblGrid>
      <w:tr w:rsidR="00111B55" w14:paraId="6A75C7E0" w14:textId="77777777" w:rsidTr="00111B55">
        <w:trPr>
          <w:tblHeader/>
        </w:trPr>
        <w:tc>
          <w:tcPr>
            <w:tcW w:w="796" w:type="pct"/>
            <w:tcBorders>
              <w:top w:val="single" w:sz="2" w:space="0" w:color="000000"/>
              <w:left w:val="nil"/>
              <w:bottom w:val="single" w:sz="2" w:space="0" w:color="000000"/>
              <w:right w:val="nil"/>
            </w:tcBorders>
            <w:hideMark/>
          </w:tcPr>
          <w:p w14:paraId="2EBDB010" w14:textId="77777777" w:rsidR="00111B55" w:rsidRDefault="00111B55">
            <w:pPr>
              <w:pStyle w:val="TableHeader"/>
              <w:rPr>
                <w:lang w:val="en-GB"/>
              </w:rPr>
            </w:pPr>
            <w:r>
              <w:rPr>
                <w:lang w:val="en-GB"/>
              </w:rPr>
              <w:t>Document No.</w:t>
            </w:r>
          </w:p>
        </w:tc>
        <w:tc>
          <w:tcPr>
            <w:tcW w:w="2797" w:type="pct"/>
            <w:tcBorders>
              <w:top w:val="single" w:sz="2" w:space="0" w:color="000000"/>
              <w:left w:val="nil"/>
              <w:bottom w:val="single" w:sz="2" w:space="0" w:color="000000"/>
              <w:right w:val="nil"/>
            </w:tcBorders>
            <w:hideMark/>
          </w:tcPr>
          <w:p w14:paraId="3E181C8C" w14:textId="77777777" w:rsidR="00111B55" w:rsidRDefault="00111B55">
            <w:pPr>
              <w:pStyle w:val="TableHeader"/>
              <w:rPr>
                <w:lang w:val="en-GB"/>
              </w:rPr>
            </w:pPr>
            <w:r>
              <w:rPr>
                <w:lang w:val="en-GB"/>
              </w:rPr>
              <w:t>Document title</w:t>
            </w:r>
          </w:p>
        </w:tc>
        <w:tc>
          <w:tcPr>
            <w:tcW w:w="1407" w:type="pct"/>
            <w:tcBorders>
              <w:top w:val="single" w:sz="2" w:space="0" w:color="000000"/>
              <w:left w:val="nil"/>
              <w:bottom w:val="single" w:sz="2" w:space="0" w:color="000000"/>
              <w:right w:val="nil"/>
            </w:tcBorders>
            <w:hideMark/>
          </w:tcPr>
          <w:p w14:paraId="3E0BEC51" w14:textId="77777777" w:rsidR="00111B55" w:rsidRDefault="00111B55">
            <w:pPr>
              <w:pStyle w:val="TableHeader"/>
              <w:rPr>
                <w:lang w:val="en-GB"/>
              </w:rPr>
            </w:pPr>
            <w:r>
              <w:rPr>
                <w:lang w:val="en-GB"/>
              </w:rPr>
              <w:t>Author</w:t>
            </w:r>
          </w:p>
        </w:tc>
      </w:tr>
      <w:tr w:rsidR="00D83004" w14:paraId="1EFEF82C" w14:textId="77777777" w:rsidTr="00D83004">
        <w:tc>
          <w:tcPr>
            <w:tcW w:w="796" w:type="pct"/>
            <w:tcBorders>
              <w:top w:val="single" w:sz="2" w:space="0" w:color="000000"/>
              <w:left w:val="nil"/>
              <w:bottom w:val="single" w:sz="2" w:space="0" w:color="B9B9B9"/>
              <w:right w:val="nil"/>
            </w:tcBorders>
            <w:vAlign w:val="center"/>
          </w:tcPr>
          <w:p w14:paraId="4381BE28" w14:textId="137EC2CA" w:rsidR="00D83004" w:rsidRDefault="00D83004" w:rsidP="00D83004">
            <w:pPr>
              <w:pStyle w:val="TableText"/>
            </w:pPr>
            <w:r>
              <w:t>AA</w:t>
            </w:r>
            <w:r w:rsidR="007E37E2">
              <w:t>1</w:t>
            </w:r>
          </w:p>
        </w:tc>
        <w:tc>
          <w:tcPr>
            <w:tcW w:w="2797" w:type="pct"/>
            <w:tcBorders>
              <w:top w:val="single" w:sz="2" w:space="0" w:color="000000"/>
              <w:left w:val="nil"/>
              <w:bottom w:val="single" w:sz="2" w:space="0" w:color="B9B9B9"/>
              <w:right w:val="nil"/>
            </w:tcBorders>
            <w:vAlign w:val="center"/>
          </w:tcPr>
          <w:p w14:paraId="6368DFF1" w14:textId="4F2EE4FA" w:rsidR="00D83004" w:rsidRDefault="003E7E87" w:rsidP="00D83004">
            <w:pPr>
              <w:pStyle w:val="TableText"/>
            </w:pPr>
            <w:proofErr w:type="spellStart"/>
            <w:r w:rsidRPr="00AC34A0">
              <w:rPr>
                <w:rFonts w:cs="Arial"/>
                <w:color w:val="000000"/>
                <w:sz w:val="20"/>
                <w:szCs w:val="20"/>
                <w:shd w:val="clear" w:color="auto" w:fill="FFFFFF"/>
              </w:rPr>
              <w:t>GPSoC</w:t>
            </w:r>
            <w:proofErr w:type="spellEnd"/>
            <w:r w:rsidRPr="00AC34A0">
              <w:rPr>
                <w:rFonts w:cs="Arial"/>
                <w:color w:val="000000"/>
                <w:sz w:val="20"/>
                <w:szCs w:val="20"/>
                <w:shd w:val="clear" w:color="auto" w:fill="FFFFFF"/>
              </w:rPr>
              <w:t xml:space="preserve"> Allergy Archetype Implementation Guidance</w:t>
            </w:r>
          </w:p>
        </w:tc>
        <w:tc>
          <w:tcPr>
            <w:tcW w:w="1407" w:type="pct"/>
            <w:tcBorders>
              <w:top w:val="single" w:sz="2" w:space="0" w:color="000000"/>
              <w:left w:val="nil"/>
              <w:bottom w:val="single" w:sz="2" w:space="0" w:color="B9B9B9"/>
              <w:right w:val="nil"/>
            </w:tcBorders>
          </w:tcPr>
          <w:p w14:paraId="49641178" w14:textId="03C815D9" w:rsidR="00D83004" w:rsidRDefault="00D83004" w:rsidP="00D83004">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r w:rsidR="007E37E2" w14:paraId="69CCB2C4" w14:textId="77777777" w:rsidTr="00111B55">
        <w:tc>
          <w:tcPr>
            <w:tcW w:w="796" w:type="pct"/>
            <w:tcBorders>
              <w:top w:val="single" w:sz="2" w:space="0" w:color="B9B9B9"/>
              <w:left w:val="nil"/>
              <w:bottom w:val="single" w:sz="2" w:space="0" w:color="B9B9B9"/>
              <w:right w:val="nil"/>
            </w:tcBorders>
            <w:vAlign w:val="center"/>
            <w:hideMark/>
          </w:tcPr>
          <w:p w14:paraId="36835FB7" w14:textId="33F2AEEC" w:rsidR="007E37E2" w:rsidRDefault="007E37E2" w:rsidP="007E37E2">
            <w:pPr>
              <w:pStyle w:val="TableText"/>
            </w:pPr>
            <w:r>
              <w:t>AA2</w:t>
            </w:r>
          </w:p>
        </w:tc>
        <w:tc>
          <w:tcPr>
            <w:tcW w:w="2797" w:type="pct"/>
            <w:tcBorders>
              <w:top w:val="single" w:sz="2" w:space="0" w:color="B9B9B9"/>
              <w:left w:val="nil"/>
              <w:bottom w:val="single" w:sz="2" w:space="0" w:color="B9B9B9"/>
              <w:right w:val="nil"/>
            </w:tcBorders>
            <w:vAlign w:val="center"/>
            <w:hideMark/>
          </w:tcPr>
          <w:p w14:paraId="68FBBE01" w14:textId="68D47D74" w:rsidR="007E37E2" w:rsidRDefault="007E37E2" w:rsidP="007E37E2">
            <w:pPr>
              <w:pStyle w:val="TableText"/>
            </w:pPr>
            <w:r>
              <w:rPr>
                <w:rFonts w:cs="Arial"/>
                <w:color w:val="000000"/>
                <w:sz w:val="20"/>
                <w:szCs w:val="20"/>
                <w:shd w:val="clear" w:color="auto" w:fill="FFFFFF"/>
              </w:rPr>
              <w:t>Implementing the Allergy Archetype in the GP2GP Message</w:t>
            </w:r>
          </w:p>
        </w:tc>
        <w:tc>
          <w:tcPr>
            <w:tcW w:w="1407" w:type="pct"/>
            <w:tcBorders>
              <w:top w:val="single" w:sz="2" w:space="0" w:color="B9B9B9"/>
              <w:left w:val="nil"/>
              <w:bottom w:val="single" w:sz="2" w:space="0" w:color="B9B9B9"/>
              <w:right w:val="nil"/>
            </w:tcBorders>
            <w:hideMark/>
          </w:tcPr>
          <w:p w14:paraId="1CB513FE" w14:textId="6698B403" w:rsidR="007E37E2" w:rsidRDefault="007E37E2" w:rsidP="007E37E2">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r w:rsidR="007E37E2" w14:paraId="5658F9EE" w14:textId="77777777" w:rsidTr="00111B55">
        <w:tc>
          <w:tcPr>
            <w:tcW w:w="796" w:type="pct"/>
            <w:tcBorders>
              <w:top w:val="single" w:sz="2" w:space="0" w:color="B9B9B9"/>
              <w:left w:val="nil"/>
              <w:bottom w:val="single" w:sz="2" w:space="0" w:color="B9B9B9"/>
              <w:right w:val="nil"/>
            </w:tcBorders>
            <w:vAlign w:val="center"/>
          </w:tcPr>
          <w:p w14:paraId="6CF2EB95" w14:textId="0B3EC769" w:rsidR="007E37E2" w:rsidRDefault="007E37E2" w:rsidP="007E37E2">
            <w:pPr>
              <w:pStyle w:val="TableText"/>
            </w:pPr>
            <w:r>
              <w:t>AA3</w:t>
            </w:r>
          </w:p>
        </w:tc>
        <w:tc>
          <w:tcPr>
            <w:tcW w:w="2797" w:type="pct"/>
            <w:tcBorders>
              <w:top w:val="single" w:sz="2" w:space="0" w:color="B9B9B9"/>
              <w:left w:val="nil"/>
              <w:bottom w:val="single" w:sz="2" w:space="0" w:color="B9B9B9"/>
              <w:right w:val="nil"/>
            </w:tcBorders>
            <w:vAlign w:val="center"/>
          </w:tcPr>
          <w:p w14:paraId="3E449FED" w14:textId="0274C557" w:rsidR="007E37E2" w:rsidRDefault="007E37E2" w:rsidP="007E37E2">
            <w:pPr>
              <w:pStyle w:val="TableText"/>
              <w:rPr>
                <w:rFonts w:cs="Arial"/>
                <w:color w:val="000000"/>
                <w:sz w:val="20"/>
                <w:szCs w:val="20"/>
                <w:shd w:val="clear" w:color="auto" w:fill="FFFFFF"/>
              </w:rPr>
            </w:pPr>
            <w:r>
              <w:rPr>
                <w:rFonts w:cs="Arial"/>
                <w:color w:val="000000"/>
                <w:sz w:val="20"/>
                <w:szCs w:val="20"/>
                <w:shd w:val="clear" w:color="auto" w:fill="FFFFFF"/>
              </w:rPr>
              <w:t>Implementing the Allergy Archetype FHIR</w:t>
            </w:r>
          </w:p>
        </w:tc>
        <w:tc>
          <w:tcPr>
            <w:tcW w:w="1407" w:type="pct"/>
            <w:tcBorders>
              <w:top w:val="single" w:sz="2" w:space="0" w:color="B9B9B9"/>
              <w:left w:val="nil"/>
              <w:bottom w:val="single" w:sz="2" w:space="0" w:color="B9B9B9"/>
              <w:right w:val="nil"/>
            </w:tcBorders>
          </w:tcPr>
          <w:p w14:paraId="69B8170B" w14:textId="54C344F0" w:rsidR="007E37E2" w:rsidRDefault="007E37E2" w:rsidP="007E37E2">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bl>
    <w:p w14:paraId="0578A00E" w14:textId="77777777" w:rsidR="00111B55" w:rsidRPr="00B476EC" w:rsidRDefault="00111B55"/>
    <w:p w14:paraId="622732DD" w14:textId="77777777" w:rsidR="001D343E" w:rsidRPr="00B476EC" w:rsidRDefault="001D343E" w:rsidP="001D343E">
      <w:pPr>
        <w:pStyle w:val="NormalBold"/>
      </w:pPr>
      <w:r w:rsidRPr="00B476EC">
        <w:t>Document Control:</w:t>
      </w:r>
    </w:p>
    <w:p w14:paraId="14D73F20"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209D6540" w14:textId="77777777" w:rsidR="00F82976" w:rsidRPr="00B476EC" w:rsidRDefault="00F82976">
      <w:pPr>
        <w:spacing w:after="0"/>
        <w:textboxTightWrap w:val="none"/>
      </w:pPr>
      <w:r w:rsidRPr="00B476EC">
        <w:br w:type="page"/>
      </w:r>
    </w:p>
    <w:p w14:paraId="51420BAF" w14:textId="77777777" w:rsidR="000C07B8" w:rsidRPr="00B476EC" w:rsidRDefault="000C07B8" w:rsidP="0032477B">
      <w:pPr>
        <w:pStyle w:val="Docmgmtheading"/>
      </w:pPr>
      <w:r w:rsidRPr="00B476EC">
        <w:lastRenderedPageBreak/>
        <w:t>C</w:t>
      </w:r>
      <w:r w:rsidR="00AF0245" w:rsidRPr="00B476EC">
        <w:t>ontents</w:t>
      </w:r>
    </w:p>
    <w:p w14:paraId="2947FC33" w14:textId="7741255E" w:rsidR="008B3ADB"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26150807" w:history="1">
        <w:r w:rsidR="008B3ADB" w:rsidRPr="00D410E4">
          <w:rPr>
            <w:rStyle w:val="Hyperlink"/>
            <w:lang w:eastAsia="en-GB"/>
          </w:rPr>
          <w:t>1.</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Introduction</w:t>
        </w:r>
        <w:r w:rsidR="008B3ADB">
          <w:rPr>
            <w:webHidden/>
          </w:rPr>
          <w:tab/>
        </w:r>
        <w:r w:rsidR="008B3ADB">
          <w:rPr>
            <w:webHidden/>
          </w:rPr>
          <w:fldChar w:fldCharType="begin"/>
        </w:r>
        <w:r w:rsidR="008B3ADB">
          <w:rPr>
            <w:webHidden/>
          </w:rPr>
          <w:instrText xml:space="preserve"> PAGEREF _Toc526150807 \h </w:instrText>
        </w:r>
        <w:r w:rsidR="008B3ADB">
          <w:rPr>
            <w:webHidden/>
          </w:rPr>
        </w:r>
        <w:r w:rsidR="008B3ADB">
          <w:rPr>
            <w:webHidden/>
          </w:rPr>
          <w:fldChar w:fldCharType="separate"/>
        </w:r>
        <w:r w:rsidR="008B3ADB">
          <w:rPr>
            <w:webHidden/>
          </w:rPr>
          <w:t>5</w:t>
        </w:r>
        <w:r w:rsidR="008B3ADB">
          <w:rPr>
            <w:webHidden/>
          </w:rPr>
          <w:fldChar w:fldCharType="end"/>
        </w:r>
      </w:hyperlink>
    </w:p>
    <w:p w14:paraId="49A2E726" w14:textId="3CFE303E"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08" w:history="1">
        <w:r w:rsidR="008B3ADB" w:rsidRPr="00D410E4">
          <w:rPr>
            <w:rStyle w:val="Hyperlink"/>
            <w:lang w:eastAsia="en-GB"/>
          </w:rPr>
          <w:t>2.</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Roadmap and vision</w:t>
        </w:r>
        <w:r w:rsidR="008B3ADB">
          <w:rPr>
            <w:webHidden/>
          </w:rPr>
          <w:tab/>
        </w:r>
        <w:r w:rsidR="008B3ADB">
          <w:rPr>
            <w:webHidden/>
          </w:rPr>
          <w:fldChar w:fldCharType="begin"/>
        </w:r>
        <w:r w:rsidR="008B3ADB">
          <w:rPr>
            <w:webHidden/>
          </w:rPr>
          <w:instrText xml:space="preserve"> PAGEREF _Toc526150808 \h </w:instrText>
        </w:r>
        <w:r w:rsidR="008B3ADB">
          <w:rPr>
            <w:webHidden/>
          </w:rPr>
        </w:r>
        <w:r w:rsidR="008B3ADB">
          <w:rPr>
            <w:webHidden/>
          </w:rPr>
          <w:fldChar w:fldCharType="separate"/>
        </w:r>
        <w:r w:rsidR="008B3ADB">
          <w:rPr>
            <w:webHidden/>
          </w:rPr>
          <w:t>5</w:t>
        </w:r>
        <w:r w:rsidR="008B3ADB">
          <w:rPr>
            <w:webHidden/>
          </w:rPr>
          <w:fldChar w:fldCharType="end"/>
        </w:r>
      </w:hyperlink>
    </w:p>
    <w:p w14:paraId="098A869B" w14:textId="441990BE"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09" w:history="1">
        <w:r w:rsidR="008B3ADB" w:rsidRPr="00D410E4">
          <w:rPr>
            <w:rStyle w:val="Hyperlink"/>
            <w:lang w:eastAsia="en-GB"/>
          </w:rPr>
          <w:t>3.</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Entries of allergy concepts as ‘non-allergies’ in source systems</w:t>
        </w:r>
        <w:r w:rsidR="008B3ADB">
          <w:rPr>
            <w:webHidden/>
          </w:rPr>
          <w:tab/>
        </w:r>
        <w:r w:rsidR="008B3ADB">
          <w:rPr>
            <w:webHidden/>
          </w:rPr>
          <w:fldChar w:fldCharType="begin"/>
        </w:r>
        <w:r w:rsidR="008B3ADB">
          <w:rPr>
            <w:webHidden/>
          </w:rPr>
          <w:instrText xml:space="preserve"> PAGEREF _Toc526150809 \h </w:instrText>
        </w:r>
        <w:r w:rsidR="008B3ADB">
          <w:rPr>
            <w:webHidden/>
          </w:rPr>
        </w:r>
        <w:r w:rsidR="008B3ADB">
          <w:rPr>
            <w:webHidden/>
          </w:rPr>
          <w:fldChar w:fldCharType="separate"/>
        </w:r>
        <w:r w:rsidR="008B3ADB">
          <w:rPr>
            <w:webHidden/>
          </w:rPr>
          <w:t>6</w:t>
        </w:r>
        <w:r w:rsidR="008B3ADB">
          <w:rPr>
            <w:webHidden/>
          </w:rPr>
          <w:fldChar w:fldCharType="end"/>
        </w:r>
      </w:hyperlink>
    </w:p>
    <w:p w14:paraId="225AAE12" w14:textId="22209D50"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0" w:history="1">
        <w:r w:rsidR="008B3ADB" w:rsidRPr="00D410E4">
          <w:rPr>
            <w:rStyle w:val="Hyperlink"/>
            <w:lang w:eastAsia="en-GB"/>
          </w:rPr>
          <w:t>4.</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Allergy/intolerance interoperability and clinical safety</w:t>
        </w:r>
        <w:r w:rsidR="008B3ADB">
          <w:rPr>
            <w:webHidden/>
          </w:rPr>
          <w:tab/>
        </w:r>
        <w:r w:rsidR="008B3ADB">
          <w:rPr>
            <w:webHidden/>
          </w:rPr>
          <w:fldChar w:fldCharType="begin"/>
        </w:r>
        <w:r w:rsidR="008B3ADB">
          <w:rPr>
            <w:webHidden/>
          </w:rPr>
          <w:instrText xml:space="preserve"> PAGEREF _Toc526150810 \h </w:instrText>
        </w:r>
        <w:r w:rsidR="008B3ADB">
          <w:rPr>
            <w:webHidden/>
          </w:rPr>
        </w:r>
        <w:r w:rsidR="008B3ADB">
          <w:rPr>
            <w:webHidden/>
          </w:rPr>
          <w:fldChar w:fldCharType="separate"/>
        </w:r>
        <w:r w:rsidR="008B3ADB">
          <w:rPr>
            <w:webHidden/>
          </w:rPr>
          <w:t>6</w:t>
        </w:r>
        <w:r w:rsidR="008B3ADB">
          <w:rPr>
            <w:webHidden/>
          </w:rPr>
          <w:fldChar w:fldCharType="end"/>
        </w:r>
      </w:hyperlink>
    </w:p>
    <w:p w14:paraId="0BD4A024" w14:textId="2E013E68"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1" w:history="1">
        <w:r w:rsidR="008B3ADB" w:rsidRPr="00D410E4">
          <w:rPr>
            <w:rStyle w:val="Hyperlink"/>
            <w:lang w:eastAsia="en-GB"/>
          </w:rPr>
          <w:t>5.</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Orthogonality to problem orientation</w:t>
        </w:r>
        <w:r w:rsidR="008B3ADB">
          <w:rPr>
            <w:webHidden/>
          </w:rPr>
          <w:tab/>
        </w:r>
        <w:r w:rsidR="008B3ADB">
          <w:rPr>
            <w:webHidden/>
          </w:rPr>
          <w:fldChar w:fldCharType="begin"/>
        </w:r>
        <w:r w:rsidR="008B3ADB">
          <w:rPr>
            <w:webHidden/>
          </w:rPr>
          <w:instrText xml:space="preserve"> PAGEREF _Toc526150811 \h </w:instrText>
        </w:r>
        <w:r w:rsidR="008B3ADB">
          <w:rPr>
            <w:webHidden/>
          </w:rPr>
        </w:r>
        <w:r w:rsidR="008B3ADB">
          <w:rPr>
            <w:webHidden/>
          </w:rPr>
          <w:fldChar w:fldCharType="separate"/>
        </w:r>
        <w:r w:rsidR="008B3ADB">
          <w:rPr>
            <w:webHidden/>
          </w:rPr>
          <w:t>7</w:t>
        </w:r>
        <w:r w:rsidR="008B3ADB">
          <w:rPr>
            <w:webHidden/>
          </w:rPr>
          <w:fldChar w:fldCharType="end"/>
        </w:r>
      </w:hyperlink>
    </w:p>
    <w:p w14:paraId="77103002" w14:textId="1CCF3D47"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2" w:history="1">
        <w:r w:rsidR="008B3ADB" w:rsidRPr="00D410E4">
          <w:rPr>
            <w:rStyle w:val="Hyperlink"/>
            <w:lang w:eastAsia="en-GB"/>
          </w:rPr>
          <w:t>6.</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Unsupported qualifiers</w:t>
        </w:r>
        <w:r w:rsidR="008B3ADB">
          <w:rPr>
            <w:webHidden/>
          </w:rPr>
          <w:tab/>
        </w:r>
        <w:r w:rsidR="008B3ADB">
          <w:rPr>
            <w:webHidden/>
          </w:rPr>
          <w:fldChar w:fldCharType="begin"/>
        </w:r>
        <w:r w:rsidR="008B3ADB">
          <w:rPr>
            <w:webHidden/>
          </w:rPr>
          <w:instrText xml:space="preserve"> PAGEREF _Toc526150812 \h </w:instrText>
        </w:r>
        <w:r w:rsidR="008B3ADB">
          <w:rPr>
            <w:webHidden/>
          </w:rPr>
        </w:r>
        <w:r w:rsidR="008B3ADB">
          <w:rPr>
            <w:webHidden/>
          </w:rPr>
          <w:fldChar w:fldCharType="separate"/>
        </w:r>
        <w:r w:rsidR="008B3ADB">
          <w:rPr>
            <w:webHidden/>
          </w:rPr>
          <w:t>7</w:t>
        </w:r>
        <w:r w:rsidR="008B3ADB">
          <w:rPr>
            <w:webHidden/>
          </w:rPr>
          <w:fldChar w:fldCharType="end"/>
        </w:r>
      </w:hyperlink>
    </w:p>
    <w:p w14:paraId="430EC000" w14:textId="175AFAE3"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3" w:history="1">
        <w:r w:rsidR="008B3ADB" w:rsidRPr="00D410E4">
          <w:rPr>
            <w:rStyle w:val="Hyperlink"/>
            <w:lang w:eastAsia="en-GB"/>
          </w:rPr>
          <w:t>7.</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Adoption of single notes field</w:t>
        </w:r>
        <w:r w:rsidR="008B3ADB">
          <w:rPr>
            <w:webHidden/>
          </w:rPr>
          <w:tab/>
        </w:r>
        <w:r w:rsidR="008B3ADB">
          <w:rPr>
            <w:webHidden/>
          </w:rPr>
          <w:fldChar w:fldCharType="begin"/>
        </w:r>
        <w:r w:rsidR="008B3ADB">
          <w:rPr>
            <w:webHidden/>
          </w:rPr>
          <w:instrText xml:space="preserve"> PAGEREF _Toc526150813 \h </w:instrText>
        </w:r>
        <w:r w:rsidR="008B3ADB">
          <w:rPr>
            <w:webHidden/>
          </w:rPr>
        </w:r>
        <w:r w:rsidR="008B3ADB">
          <w:rPr>
            <w:webHidden/>
          </w:rPr>
          <w:fldChar w:fldCharType="separate"/>
        </w:r>
        <w:r w:rsidR="008B3ADB">
          <w:rPr>
            <w:webHidden/>
          </w:rPr>
          <w:t>7</w:t>
        </w:r>
        <w:r w:rsidR="008B3ADB">
          <w:rPr>
            <w:webHidden/>
          </w:rPr>
          <w:fldChar w:fldCharType="end"/>
        </w:r>
      </w:hyperlink>
    </w:p>
    <w:p w14:paraId="27E8A2D5" w14:textId="718E19C6"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4" w:history="1">
        <w:r w:rsidR="008B3ADB" w:rsidRPr="00D410E4">
          <w:rPr>
            <w:rStyle w:val="Hyperlink"/>
            <w:lang w:eastAsia="en-GB"/>
          </w:rPr>
          <w:t>8.</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‘Resolved’ allergies and intolerances</w:t>
        </w:r>
        <w:r w:rsidR="008B3ADB">
          <w:rPr>
            <w:webHidden/>
          </w:rPr>
          <w:tab/>
        </w:r>
        <w:r w:rsidR="008B3ADB">
          <w:rPr>
            <w:webHidden/>
          </w:rPr>
          <w:fldChar w:fldCharType="begin"/>
        </w:r>
        <w:r w:rsidR="008B3ADB">
          <w:rPr>
            <w:webHidden/>
          </w:rPr>
          <w:instrText xml:space="preserve"> PAGEREF _Toc526150814 \h </w:instrText>
        </w:r>
        <w:r w:rsidR="008B3ADB">
          <w:rPr>
            <w:webHidden/>
          </w:rPr>
        </w:r>
        <w:r w:rsidR="008B3ADB">
          <w:rPr>
            <w:webHidden/>
          </w:rPr>
          <w:fldChar w:fldCharType="separate"/>
        </w:r>
        <w:r w:rsidR="008B3ADB">
          <w:rPr>
            <w:webHidden/>
          </w:rPr>
          <w:t>8</w:t>
        </w:r>
        <w:r w:rsidR="008B3ADB">
          <w:rPr>
            <w:webHidden/>
          </w:rPr>
          <w:fldChar w:fldCharType="end"/>
        </w:r>
      </w:hyperlink>
    </w:p>
    <w:p w14:paraId="22BB8F43" w14:textId="2D486B87"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5" w:history="1">
        <w:r w:rsidR="008B3ADB" w:rsidRPr="00D410E4">
          <w:rPr>
            <w:rStyle w:val="Hyperlink"/>
            <w:lang w:eastAsia="en-GB"/>
          </w:rPr>
          <w:t>9.</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Relationship to yellow card</w:t>
        </w:r>
        <w:r w:rsidR="008B3ADB">
          <w:rPr>
            <w:webHidden/>
          </w:rPr>
          <w:tab/>
        </w:r>
        <w:r w:rsidR="008B3ADB">
          <w:rPr>
            <w:webHidden/>
          </w:rPr>
          <w:fldChar w:fldCharType="begin"/>
        </w:r>
        <w:r w:rsidR="008B3ADB">
          <w:rPr>
            <w:webHidden/>
          </w:rPr>
          <w:instrText xml:space="preserve"> PAGEREF _Toc526150815 \h </w:instrText>
        </w:r>
        <w:r w:rsidR="008B3ADB">
          <w:rPr>
            <w:webHidden/>
          </w:rPr>
        </w:r>
        <w:r w:rsidR="008B3ADB">
          <w:rPr>
            <w:webHidden/>
          </w:rPr>
          <w:fldChar w:fldCharType="separate"/>
        </w:r>
        <w:r w:rsidR="008B3ADB">
          <w:rPr>
            <w:webHidden/>
          </w:rPr>
          <w:t>8</w:t>
        </w:r>
        <w:r w:rsidR="008B3ADB">
          <w:rPr>
            <w:webHidden/>
          </w:rPr>
          <w:fldChar w:fldCharType="end"/>
        </w:r>
      </w:hyperlink>
    </w:p>
    <w:p w14:paraId="1073B491" w14:textId="36EE0AEF"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6" w:history="1">
        <w:r w:rsidR="008B3ADB" w:rsidRPr="00D410E4">
          <w:rPr>
            <w:rStyle w:val="Hyperlink"/>
            <w:lang w:eastAsia="en-GB"/>
          </w:rPr>
          <w:t>10.</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AllergyIntolerance category</w:t>
        </w:r>
        <w:r w:rsidR="008B3ADB">
          <w:rPr>
            <w:webHidden/>
          </w:rPr>
          <w:tab/>
        </w:r>
        <w:r w:rsidR="008B3ADB">
          <w:rPr>
            <w:webHidden/>
          </w:rPr>
          <w:fldChar w:fldCharType="begin"/>
        </w:r>
        <w:r w:rsidR="008B3ADB">
          <w:rPr>
            <w:webHidden/>
          </w:rPr>
          <w:instrText xml:space="preserve"> PAGEREF _Toc526150816 \h </w:instrText>
        </w:r>
        <w:r w:rsidR="008B3ADB">
          <w:rPr>
            <w:webHidden/>
          </w:rPr>
        </w:r>
        <w:r w:rsidR="008B3ADB">
          <w:rPr>
            <w:webHidden/>
          </w:rPr>
          <w:fldChar w:fldCharType="separate"/>
        </w:r>
        <w:r w:rsidR="008B3ADB">
          <w:rPr>
            <w:webHidden/>
          </w:rPr>
          <w:t>8</w:t>
        </w:r>
        <w:r w:rsidR="008B3ADB">
          <w:rPr>
            <w:webHidden/>
          </w:rPr>
          <w:fldChar w:fldCharType="end"/>
        </w:r>
      </w:hyperlink>
    </w:p>
    <w:p w14:paraId="41E2CD22" w14:textId="698E05F1"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7" w:history="1">
        <w:r w:rsidR="008B3ADB" w:rsidRPr="00D410E4">
          <w:rPr>
            <w:rStyle w:val="Hyperlink"/>
            <w:lang w:eastAsia="en-GB"/>
          </w:rPr>
          <w:t>11.</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Date usage</w:t>
        </w:r>
        <w:r w:rsidR="008B3ADB">
          <w:rPr>
            <w:webHidden/>
          </w:rPr>
          <w:tab/>
        </w:r>
        <w:r w:rsidR="008B3ADB">
          <w:rPr>
            <w:webHidden/>
          </w:rPr>
          <w:fldChar w:fldCharType="begin"/>
        </w:r>
        <w:r w:rsidR="008B3ADB">
          <w:rPr>
            <w:webHidden/>
          </w:rPr>
          <w:instrText xml:space="preserve"> PAGEREF _Toc526150817 \h </w:instrText>
        </w:r>
        <w:r w:rsidR="008B3ADB">
          <w:rPr>
            <w:webHidden/>
          </w:rPr>
        </w:r>
        <w:r w:rsidR="008B3ADB">
          <w:rPr>
            <w:webHidden/>
          </w:rPr>
          <w:fldChar w:fldCharType="separate"/>
        </w:r>
        <w:r w:rsidR="008B3ADB">
          <w:rPr>
            <w:webHidden/>
          </w:rPr>
          <w:t>8</w:t>
        </w:r>
        <w:r w:rsidR="008B3ADB">
          <w:rPr>
            <w:webHidden/>
          </w:rPr>
          <w:fldChar w:fldCharType="end"/>
        </w:r>
      </w:hyperlink>
    </w:p>
    <w:p w14:paraId="34E45C81" w14:textId="6CD473A8"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8" w:history="1">
        <w:r w:rsidR="008B3ADB" w:rsidRPr="00D410E4">
          <w:rPr>
            <w:rStyle w:val="Hyperlink"/>
            <w:lang w:eastAsia="en-GB"/>
          </w:rPr>
          <w:t>12.</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Unsupported codes</w:t>
        </w:r>
        <w:r w:rsidR="008B3ADB">
          <w:rPr>
            <w:webHidden/>
          </w:rPr>
          <w:tab/>
        </w:r>
        <w:r w:rsidR="008B3ADB">
          <w:rPr>
            <w:webHidden/>
          </w:rPr>
          <w:fldChar w:fldCharType="begin"/>
        </w:r>
        <w:r w:rsidR="008B3ADB">
          <w:rPr>
            <w:webHidden/>
          </w:rPr>
          <w:instrText xml:space="preserve"> PAGEREF _Toc526150818 \h </w:instrText>
        </w:r>
        <w:r w:rsidR="008B3ADB">
          <w:rPr>
            <w:webHidden/>
          </w:rPr>
        </w:r>
        <w:r w:rsidR="008B3ADB">
          <w:rPr>
            <w:webHidden/>
          </w:rPr>
          <w:fldChar w:fldCharType="separate"/>
        </w:r>
        <w:r w:rsidR="008B3ADB">
          <w:rPr>
            <w:webHidden/>
          </w:rPr>
          <w:t>9</w:t>
        </w:r>
        <w:r w:rsidR="008B3ADB">
          <w:rPr>
            <w:webHidden/>
          </w:rPr>
          <w:fldChar w:fldCharType="end"/>
        </w:r>
      </w:hyperlink>
    </w:p>
    <w:p w14:paraId="37BDA1D2" w14:textId="4CEEF419"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19" w:history="1">
        <w:r w:rsidR="008B3ADB" w:rsidRPr="00D410E4">
          <w:rPr>
            <w:rStyle w:val="Hyperlink"/>
            <w:lang w:eastAsia="en-GB"/>
          </w:rPr>
          <w:t>13.</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Negation - handling ‘no known allergies’</w:t>
        </w:r>
        <w:r w:rsidR="008B3ADB">
          <w:rPr>
            <w:webHidden/>
          </w:rPr>
          <w:tab/>
        </w:r>
        <w:r w:rsidR="008B3ADB">
          <w:rPr>
            <w:webHidden/>
          </w:rPr>
          <w:fldChar w:fldCharType="begin"/>
        </w:r>
        <w:r w:rsidR="008B3ADB">
          <w:rPr>
            <w:webHidden/>
          </w:rPr>
          <w:instrText xml:space="preserve"> PAGEREF _Toc526150819 \h </w:instrText>
        </w:r>
        <w:r w:rsidR="008B3ADB">
          <w:rPr>
            <w:webHidden/>
          </w:rPr>
        </w:r>
        <w:r w:rsidR="008B3ADB">
          <w:rPr>
            <w:webHidden/>
          </w:rPr>
          <w:fldChar w:fldCharType="separate"/>
        </w:r>
        <w:r w:rsidR="008B3ADB">
          <w:rPr>
            <w:webHidden/>
          </w:rPr>
          <w:t>9</w:t>
        </w:r>
        <w:r w:rsidR="008B3ADB">
          <w:rPr>
            <w:webHidden/>
          </w:rPr>
          <w:fldChar w:fldCharType="end"/>
        </w:r>
      </w:hyperlink>
    </w:p>
    <w:p w14:paraId="00F5D0C8" w14:textId="6E7B9EA4"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20" w:history="1">
        <w:r w:rsidR="008B3ADB" w:rsidRPr="00D410E4">
          <w:rPr>
            <w:rStyle w:val="Hyperlink"/>
            <w:lang w:eastAsia="en-GB"/>
          </w:rPr>
          <w:t>14.</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Degradation actions to be performed by consumers not providers</w:t>
        </w:r>
        <w:r w:rsidR="008B3ADB">
          <w:rPr>
            <w:webHidden/>
          </w:rPr>
          <w:tab/>
        </w:r>
        <w:r w:rsidR="008B3ADB">
          <w:rPr>
            <w:webHidden/>
          </w:rPr>
          <w:fldChar w:fldCharType="begin"/>
        </w:r>
        <w:r w:rsidR="008B3ADB">
          <w:rPr>
            <w:webHidden/>
          </w:rPr>
          <w:instrText xml:space="preserve"> PAGEREF _Toc526150820 \h </w:instrText>
        </w:r>
        <w:r w:rsidR="008B3ADB">
          <w:rPr>
            <w:webHidden/>
          </w:rPr>
        </w:r>
        <w:r w:rsidR="008B3ADB">
          <w:rPr>
            <w:webHidden/>
          </w:rPr>
          <w:fldChar w:fldCharType="separate"/>
        </w:r>
        <w:r w:rsidR="008B3ADB">
          <w:rPr>
            <w:webHidden/>
          </w:rPr>
          <w:t>9</w:t>
        </w:r>
        <w:r w:rsidR="008B3ADB">
          <w:rPr>
            <w:webHidden/>
          </w:rPr>
          <w:fldChar w:fldCharType="end"/>
        </w:r>
      </w:hyperlink>
    </w:p>
    <w:p w14:paraId="715733D0" w14:textId="688C850A" w:rsidR="008B3ADB" w:rsidRDefault="000C1FAE">
      <w:pPr>
        <w:pStyle w:val="TOC1"/>
        <w:tabs>
          <w:tab w:val="left" w:pos="660"/>
        </w:tabs>
        <w:rPr>
          <w:rFonts w:asciiTheme="minorHAnsi" w:eastAsiaTheme="minorEastAsia" w:hAnsiTheme="minorHAnsi" w:cstheme="minorBidi"/>
          <w:b w:val="0"/>
          <w:color w:val="auto"/>
          <w:sz w:val="22"/>
          <w:szCs w:val="22"/>
          <w:lang w:eastAsia="en-GB"/>
        </w:rPr>
      </w:pPr>
      <w:hyperlink w:anchor="_Toc526150821" w:history="1">
        <w:r w:rsidR="008B3ADB" w:rsidRPr="00D410E4">
          <w:rPr>
            <w:rStyle w:val="Hyperlink"/>
            <w:lang w:eastAsia="en-GB"/>
          </w:rPr>
          <w:t>15.</w:t>
        </w:r>
        <w:r w:rsidR="008B3ADB">
          <w:rPr>
            <w:rFonts w:asciiTheme="minorHAnsi" w:eastAsiaTheme="minorEastAsia" w:hAnsiTheme="minorHAnsi" w:cstheme="minorBidi"/>
            <w:b w:val="0"/>
            <w:color w:val="auto"/>
            <w:sz w:val="22"/>
            <w:szCs w:val="22"/>
            <w:lang w:eastAsia="en-GB"/>
          </w:rPr>
          <w:tab/>
        </w:r>
        <w:r w:rsidR="008B3ADB" w:rsidRPr="00D410E4">
          <w:rPr>
            <w:rStyle w:val="Hyperlink"/>
            <w:lang w:eastAsia="en-GB"/>
          </w:rPr>
          <w:t>Reaction cardinality</w:t>
        </w:r>
        <w:r w:rsidR="008B3ADB">
          <w:rPr>
            <w:webHidden/>
          </w:rPr>
          <w:tab/>
        </w:r>
        <w:r w:rsidR="008B3ADB">
          <w:rPr>
            <w:webHidden/>
          </w:rPr>
          <w:fldChar w:fldCharType="begin"/>
        </w:r>
        <w:r w:rsidR="008B3ADB">
          <w:rPr>
            <w:webHidden/>
          </w:rPr>
          <w:instrText xml:space="preserve"> PAGEREF _Toc526150821 \h </w:instrText>
        </w:r>
        <w:r w:rsidR="008B3ADB">
          <w:rPr>
            <w:webHidden/>
          </w:rPr>
        </w:r>
        <w:r w:rsidR="008B3ADB">
          <w:rPr>
            <w:webHidden/>
          </w:rPr>
          <w:fldChar w:fldCharType="separate"/>
        </w:r>
        <w:r w:rsidR="008B3ADB">
          <w:rPr>
            <w:webHidden/>
          </w:rPr>
          <w:t>10</w:t>
        </w:r>
        <w:r w:rsidR="008B3ADB">
          <w:rPr>
            <w:webHidden/>
          </w:rPr>
          <w:fldChar w:fldCharType="end"/>
        </w:r>
      </w:hyperlink>
    </w:p>
    <w:p w14:paraId="785D170D" w14:textId="78CE9C1D" w:rsidR="00155D8C" w:rsidRPr="00B476EC" w:rsidRDefault="00BC0B63" w:rsidP="00183E37">
      <w:pPr>
        <w:pStyle w:val="TOC1"/>
        <w:sectPr w:rsidR="00155D8C" w:rsidRPr="00B476EC" w:rsidSect="001E2958">
          <w:headerReference w:type="first" r:id="rId19"/>
          <w:pgSz w:w="11906" w:h="16838"/>
          <w:pgMar w:top="1021" w:right="1021" w:bottom="1021" w:left="1021" w:header="561" w:footer="561" w:gutter="0"/>
          <w:cols w:space="720"/>
          <w:docGrid w:linePitch="360"/>
        </w:sectPr>
      </w:pPr>
      <w:r w:rsidRPr="00B476EC">
        <w:fldChar w:fldCharType="end"/>
      </w:r>
    </w:p>
    <w:p w14:paraId="4DC1840D" w14:textId="77777777" w:rsidR="008B3ADB" w:rsidRPr="00657DF2" w:rsidRDefault="008B3ADB" w:rsidP="008B3ADB">
      <w:pPr>
        <w:pStyle w:val="Heading1"/>
        <w:rPr>
          <w:lang w:eastAsia="en-GB"/>
        </w:rPr>
      </w:pPr>
      <w:bookmarkStart w:id="8" w:name="_Toc526150807"/>
      <w:r w:rsidRPr="00657DF2">
        <w:rPr>
          <w:lang w:eastAsia="en-GB"/>
        </w:rPr>
        <w:lastRenderedPageBreak/>
        <w:t>Introduction</w:t>
      </w:r>
      <w:bookmarkEnd w:id="8"/>
    </w:p>
    <w:p w14:paraId="510DCB7F" w14:textId="7892CBFB" w:rsidR="00A922BB" w:rsidRPr="005765C2" w:rsidRDefault="00F64E9E"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 xml:space="preserve">The following guidance is taken from the GP Connect </w:t>
      </w:r>
      <w:r w:rsidR="00A922BB" w:rsidRPr="005765C2">
        <w:rPr>
          <w:rFonts w:asciiTheme="minorHAnsi" w:hAnsiTheme="minorHAnsi" w:cstheme="minorHAnsi"/>
          <w:color w:val="000000"/>
          <w:lang w:eastAsia="en-GB"/>
        </w:rPr>
        <w:t>specification which can be found online here,</w:t>
      </w:r>
    </w:p>
    <w:p w14:paraId="32A8581E" w14:textId="597A9910" w:rsidR="00A922BB" w:rsidRPr="005765C2" w:rsidRDefault="00D67197"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https://nhsconnect.github.io/gpconnect/accessrecord_structured_development_allergies_guidance.html</w:t>
      </w:r>
    </w:p>
    <w:p w14:paraId="376F5994" w14:textId="6FC6A664" w:rsidR="00A922BB" w:rsidRPr="005765C2" w:rsidRDefault="00A922B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It is intended to provide guidance to implementers who are producing or consuming the</w:t>
      </w:r>
      <w:r w:rsidR="00A234DC" w:rsidRPr="005765C2">
        <w:rPr>
          <w:rFonts w:asciiTheme="minorHAnsi" w:hAnsiTheme="minorHAnsi" w:cstheme="minorHAnsi"/>
          <w:color w:val="000000"/>
          <w:lang w:eastAsia="en-GB"/>
        </w:rPr>
        <w:t xml:space="preserve"> </w:t>
      </w:r>
      <w:proofErr w:type="spellStart"/>
      <w:r w:rsidR="00A234DC" w:rsidRPr="005765C2">
        <w:rPr>
          <w:rFonts w:asciiTheme="minorHAnsi" w:hAnsiTheme="minorHAnsi" w:cstheme="minorHAnsi"/>
          <w:color w:val="000000"/>
          <w:lang w:eastAsia="en-GB"/>
        </w:rPr>
        <w:t>allergyIntolerance</w:t>
      </w:r>
      <w:proofErr w:type="spellEnd"/>
      <w:r w:rsidRPr="005765C2">
        <w:rPr>
          <w:rFonts w:asciiTheme="minorHAnsi" w:hAnsiTheme="minorHAnsi" w:cstheme="minorHAnsi"/>
          <w:color w:val="000000"/>
          <w:lang w:eastAsia="en-GB"/>
        </w:rPr>
        <w:t xml:space="preserve"> </w:t>
      </w:r>
      <w:r w:rsidR="00A234DC" w:rsidRPr="005765C2">
        <w:rPr>
          <w:rFonts w:asciiTheme="minorHAnsi" w:hAnsiTheme="minorHAnsi" w:cstheme="minorHAnsi"/>
          <w:color w:val="000000"/>
          <w:lang w:eastAsia="en-GB"/>
        </w:rPr>
        <w:t>FHIR resource</w:t>
      </w:r>
      <w:r w:rsidR="00E75C39" w:rsidRPr="005765C2">
        <w:rPr>
          <w:rFonts w:asciiTheme="minorHAnsi" w:hAnsiTheme="minorHAnsi" w:cstheme="minorHAnsi"/>
          <w:color w:val="000000"/>
          <w:lang w:eastAsia="en-GB"/>
        </w:rPr>
        <w:t xml:space="preserve"> and includes background about </w:t>
      </w:r>
      <w:r w:rsidR="00E54A28" w:rsidRPr="005765C2">
        <w:rPr>
          <w:rFonts w:asciiTheme="minorHAnsi" w:hAnsiTheme="minorHAnsi" w:cstheme="minorHAnsi"/>
          <w:color w:val="000000"/>
          <w:lang w:eastAsia="en-GB"/>
        </w:rPr>
        <w:t>the state of the GP estate at the time of writing.</w:t>
      </w:r>
    </w:p>
    <w:p w14:paraId="13F3D5FF" w14:textId="1F9C7A55"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recording of allergy and intolerance information in patient records is a major component of communicating the effects of external substances and compounds on patient health.</w:t>
      </w:r>
    </w:p>
    <w:p w14:paraId="0C654100"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 xml:space="preserve">The allergy and intolerance concept </w:t>
      </w:r>
      <w:proofErr w:type="gramStart"/>
      <w:r w:rsidRPr="005765C2">
        <w:rPr>
          <w:rFonts w:asciiTheme="minorHAnsi" w:hAnsiTheme="minorHAnsi" w:cstheme="minorHAnsi"/>
          <w:color w:val="000000"/>
          <w:lang w:eastAsia="en-GB"/>
        </w:rPr>
        <w:t>is</w:t>
      </w:r>
      <w:proofErr w:type="gramEnd"/>
      <w:r w:rsidRPr="005765C2">
        <w:rPr>
          <w:rFonts w:asciiTheme="minorHAnsi" w:hAnsiTheme="minorHAnsi" w:cstheme="minorHAnsi"/>
          <w:color w:val="000000"/>
          <w:lang w:eastAsia="en-GB"/>
        </w:rPr>
        <w:t xml:space="preserve"> broad and multidimensional:</w:t>
      </w:r>
    </w:p>
    <w:p w14:paraId="237B5AAB" w14:textId="77777777" w:rsidR="008B3ADB" w:rsidRPr="005765C2" w:rsidRDefault="008B3ADB" w:rsidP="008B3ADB">
      <w:pPr>
        <w:numPr>
          <w:ilvl w:val="0"/>
          <w:numId w:val="15"/>
        </w:numPr>
        <w:shd w:val="clear" w:color="auto" w:fill="FFFFFF"/>
        <w:spacing w:before="150" w:after="150"/>
        <w:textboxTightWrap w:val="none"/>
        <w:rPr>
          <w:rFonts w:asciiTheme="minorHAnsi" w:hAnsiTheme="minorHAnsi" w:cstheme="minorHAnsi"/>
          <w:color w:val="000000"/>
          <w:lang w:eastAsia="en-GB"/>
        </w:rPr>
      </w:pPr>
      <w:r w:rsidRPr="005765C2">
        <w:rPr>
          <w:rFonts w:asciiTheme="minorHAnsi" w:hAnsiTheme="minorHAnsi" w:cstheme="minorHAnsi"/>
          <w:color w:val="000000"/>
          <w:lang w:eastAsia="en-GB"/>
        </w:rPr>
        <w:t>the causation of allergy and intolerance may be linked to specific medications or pharmaceuticals or substances (biological or chemical) in the environment</w:t>
      </w:r>
    </w:p>
    <w:p w14:paraId="4E521867" w14:textId="77777777" w:rsidR="008B3ADB" w:rsidRPr="005765C2" w:rsidRDefault="008B3ADB" w:rsidP="008B3ADB">
      <w:pPr>
        <w:numPr>
          <w:ilvl w:val="0"/>
          <w:numId w:val="15"/>
        </w:numPr>
        <w:shd w:val="clear" w:color="auto" w:fill="FFFFFF"/>
        <w:spacing w:before="150" w:after="150"/>
        <w:textboxTightWrap w:val="none"/>
        <w:rPr>
          <w:rFonts w:asciiTheme="minorHAnsi" w:hAnsiTheme="minorHAnsi" w:cstheme="minorHAnsi"/>
          <w:color w:val="000000"/>
          <w:lang w:eastAsia="en-GB"/>
        </w:rPr>
      </w:pPr>
      <w:r w:rsidRPr="005765C2">
        <w:rPr>
          <w:rFonts w:asciiTheme="minorHAnsi" w:hAnsiTheme="minorHAnsi" w:cstheme="minorHAnsi"/>
          <w:color w:val="000000"/>
          <w:lang w:eastAsia="en-GB"/>
        </w:rPr>
        <w:t xml:space="preserve">the weight and significance that may be attached to recorded allergy and intolerance is affected by </w:t>
      </w:r>
      <w:proofErr w:type="gramStart"/>
      <w:r w:rsidRPr="005765C2">
        <w:rPr>
          <w:rFonts w:asciiTheme="minorHAnsi" w:hAnsiTheme="minorHAnsi" w:cstheme="minorHAnsi"/>
          <w:color w:val="000000"/>
          <w:lang w:eastAsia="en-GB"/>
        </w:rPr>
        <w:t>a number of</w:t>
      </w:r>
      <w:proofErr w:type="gramEnd"/>
      <w:r w:rsidRPr="005765C2">
        <w:rPr>
          <w:rFonts w:asciiTheme="minorHAnsi" w:hAnsiTheme="minorHAnsi" w:cstheme="minorHAnsi"/>
          <w:color w:val="000000"/>
          <w:lang w:eastAsia="en-GB"/>
        </w:rPr>
        <w:t xml:space="preserve"> factors including the certainty of the allergy, the severity of the reaction and the likelihood of occurrence</w:t>
      </w:r>
    </w:p>
    <w:p w14:paraId="3E7F0FCB" w14:textId="77777777" w:rsidR="008B3ADB" w:rsidRPr="005765C2" w:rsidRDefault="008B3ADB" w:rsidP="008B3ADB">
      <w:pPr>
        <w:numPr>
          <w:ilvl w:val="0"/>
          <w:numId w:val="15"/>
        </w:numPr>
        <w:shd w:val="clear" w:color="auto" w:fill="FFFFFF"/>
        <w:spacing w:before="150" w:after="150"/>
        <w:textboxTightWrap w:val="none"/>
        <w:rPr>
          <w:rFonts w:asciiTheme="minorHAnsi" w:hAnsiTheme="minorHAnsi" w:cstheme="minorHAnsi"/>
          <w:color w:val="000000"/>
          <w:lang w:eastAsia="en-GB"/>
        </w:rPr>
      </w:pPr>
      <w:r w:rsidRPr="005765C2">
        <w:rPr>
          <w:rFonts w:asciiTheme="minorHAnsi" w:hAnsiTheme="minorHAnsi" w:cstheme="minorHAnsi"/>
          <w:color w:val="000000"/>
          <w:lang w:eastAsia="en-GB"/>
        </w:rPr>
        <w:t>allergies and intolerances may be linked to other clinical events, such as diagnostic tests that confirm the presence of the allergy or linked to instances of illness caused by the allergy</w:t>
      </w:r>
    </w:p>
    <w:p w14:paraId="2B8DB990" w14:textId="77777777" w:rsidR="008B3ADB" w:rsidRPr="005765C2" w:rsidRDefault="008B3ADB" w:rsidP="008B3ADB">
      <w:pPr>
        <w:numPr>
          <w:ilvl w:val="0"/>
          <w:numId w:val="15"/>
        </w:numPr>
        <w:shd w:val="clear" w:color="auto" w:fill="FFFFFF"/>
        <w:spacing w:before="150" w:after="150"/>
        <w:textboxTightWrap w:val="none"/>
        <w:rPr>
          <w:rFonts w:asciiTheme="minorHAnsi" w:hAnsiTheme="minorHAnsi" w:cstheme="minorHAnsi"/>
          <w:color w:val="000000"/>
          <w:lang w:eastAsia="en-GB"/>
        </w:rPr>
      </w:pPr>
      <w:r w:rsidRPr="005765C2">
        <w:rPr>
          <w:rFonts w:asciiTheme="minorHAnsi" w:hAnsiTheme="minorHAnsi" w:cstheme="minorHAnsi"/>
          <w:color w:val="000000"/>
          <w:lang w:eastAsia="en-GB"/>
        </w:rPr>
        <w:t>allergies and intolerances may be dynamic and evolving, increasing in severity over time, recurrent or perhaps only active and observed within defined periods</w:t>
      </w:r>
    </w:p>
    <w:p w14:paraId="7714827B"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 xml:space="preserve">The recording and handling of allergy and intolerance information has an important role to play in patient safety, not only </w:t>
      </w:r>
      <w:proofErr w:type="gramStart"/>
      <w:r w:rsidRPr="005765C2">
        <w:rPr>
          <w:rFonts w:asciiTheme="minorHAnsi" w:hAnsiTheme="minorHAnsi" w:cstheme="minorHAnsi"/>
          <w:color w:val="000000"/>
          <w:lang w:eastAsia="en-GB"/>
        </w:rPr>
        <w:t>with regard to</w:t>
      </w:r>
      <w:proofErr w:type="gramEnd"/>
      <w:r w:rsidRPr="005765C2">
        <w:rPr>
          <w:rFonts w:asciiTheme="minorHAnsi" w:hAnsiTheme="minorHAnsi" w:cstheme="minorHAnsi"/>
          <w:color w:val="000000"/>
          <w:lang w:eastAsia="en-GB"/>
        </w:rPr>
        <w:t xml:space="preserve"> clinical decision making, but also in the realm of prescribing decision support, where the presence of allergy information linked to causative agents can trigger automated alerts and restrictions when prescribing.</w:t>
      </w:r>
    </w:p>
    <w:p w14:paraId="68DE9939"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Given the complexity and depth of the allergy and intolerance domain there are significant differences and variations in the implementation of the allergy and intolerance concept across participating systems in terms of structure, terminology and the linkages between terminology and decision support. These differences limit the current interoperability of allergies and intolerances.</w:t>
      </w:r>
    </w:p>
    <w:p w14:paraId="3EA91951"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GP Connect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FHIR® resource aims to improve the interoperability of allergies and intolerances through convergence towards a standardised structure and common terminology.</w:t>
      </w:r>
    </w:p>
    <w:p w14:paraId="783D0AB2"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clinical importance of allergy and intolerance information coupled with the variability of implementations across participating systems means that there is a need for clear guidance on the utilisation of the GP Connect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 by both providers and consumers.</w:t>
      </w:r>
    </w:p>
    <w:p w14:paraId="58D03970"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These pages provide the required guidance:</w:t>
      </w:r>
    </w:p>
    <w:p w14:paraId="47385162" w14:textId="77777777" w:rsidR="008B3ADB" w:rsidRPr="005765C2" w:rsidRDefault="008B3ADB" w:rsidP="008B3ADB">
      <w:pPr>
        <w:numPr>
          <w:ilvl w:val="0"/>
          <w:numId w:val="16"/>
        </w:numPr>
        <w:shd w:val="clear" w:color="auto" w:fill="FFFFFF"/>
        <w:spacing w:before="150" w:after="150"/>
        <w:textboxTightWrap w:val="none"/>
        <w:rPr>
          <w:rFonts w:asciiTheme="minorHAnsi" w:hAnsiTheme="minorHAnsi" w:cstheme="minorHAnsi"/>
          <w:color w:val="000000"/>
          <w:lang w:eastAsia="en-GB"/>
        </w:rPr>
      </w:pPr>
      <w:r w:rsidRPr="005765C2">
        <w:rPr>
          <w:rFonts w:asciiTheme="minorHAnsi" w:hAnsiTheme="minorHAnsi" w:cstheme="minorHAnsi"/>
          <w:color w:val="000000"/>
          <w:lang w:eastAsia="en-GB"/>
        </w:rPr>
        <w:t>usage of the FHIR resource elements to represent allergy and intolerance concepts from participating systems</w:t>
      </w:r>
    </w:p>
    <w:p w14:paraId="5696F252" w14:textId="77777777" w:rsidR="008B3ADB" w:rsidRPr="005765C2" w:rsidRDefault="008B3ADB" w:rsidP="008B3ADB">
      <w:pPr>
        <w:numPr>
          <w:ilvl w:val="0"/>
          <w:numId w:val="16"/>
        </w:numPr>
        <w:shd w:val="clear" w:color="auto" w:fill="FFFFFF"/>
        <w:spacing w:before="150" w:after="150"/>
        <w:textboxTightWrap w:val="none"/>
        <w:rPr>
          <w:rFonts w:asciiTheme="minorHAnsi" w:hAnsiTheme="minorHAnsi" w:cstheme="minorHAnsi"/>
          <w:color w:val="000000"/>
          <w:lang w:eastAsia="en-GB"/>
        </w:rPr>
      </w:pPr>
      <w:r w:rsidRPr="005765C2">
        <w:rPr>
          <w:rFonts w:asciiTheme="minorHAnsi" w:hAnsiTheme="minorHAnsi" w:cstheme="minorHAnsi"/>
          <w:color w:val="000000"/>
          <w:lang w:eastAsia="en-GB"/>
        </w:rPr>
        <w:t>guidance for providers on the correct representation of allergy/intolerance concepts as FHIR resources</w:t>
      </w:r>
    </w:p>
    <w:p w14:paraId="77DB05D5" w14:textId="77777777" w:rsidR="008B3ADB" w:rsidRPr="005765C2" w:rsidRDefault="008B3ADB" w:rsidP="008B3ADB">
      <w:pPr>
        <w:numPr>
          <w:ilvl w:val="0"/>
          <w:numId w:val="16"/>
        </w:numPr>
        <w:shd w:val="clear" w:color="auto" w:fill="FFFFFF"/>
        <w:spacing w:before="150" w:after="150"/>
        <w:textboxTightWrap w:val="none"/>
        <w:rPr>
          <w:rFonts w:asciiTheme="minorHAnsi" w:hAnsiTheme="minorHAnsi" w:cstheme="minorHAnsi"/>
          <w:color w:val="000000"/>
          <w:lang w:eastAsia="en-GB"/>
        </w:rPr>
      </w:pPr>
      <w:r w:rsidRPr="005765C2">
        <w:rPr>
          <w:rFonts w:asciiTheme="minorHAnsi" w:hAnsiTheme="minorHAnsi" w:cstheme="minorHAnsi"/>
          <w:color w:val="000000"/>
          <w:lang w:eastAsia="en-GB"/>
        </w:rPr>
        <w:lastRenderedPageBreak/>
        <w:t>guidance for consumers on the handling of the FHIR resources in terms of expectations for what can be present in the resource and the handling of variations between systems</w:t>
      </w:r>
    </w:p>
    <w:p w14:paraId="287BB89D" w14:textId="77777777" w:rsidR="008B3ADB" w:rsidRPr="00657DF2" w:rsidRDefault="008B3ADB" w:rsidP="008B3ADB">
      <w:pPr>
        <w:pStyle w:val="Heading1"/>
        <w:rPr>
          <w:lang w:eastAsia="en-GB"/>
        </w:rPr>
      </w:pPr>
      <w:bookmarkStart w:id="9" w:name="_Toc526150808"/>
      <w:r w:rsidRPr="00657DF2">
        <w:rPr>
          <w:lang w:eastAsia="en-GB"/>
        </w:rPr>
        <w:t>Roadmap and vision</w:t>
      </w:r>
      <w:bookmarkEnd w:id="9"/>
    </w:p>
    <w:p w14:paraId="2D6618CE"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FHIR resource has been developed to address current allergy and intolerance interoperability limitations. As such, it has been designed to enable a future state in which greater levels of allergy and intolerance interoperability are achieved by utilisation of SNOMED CT and NHS dictionary of medicines and devices (</w:t>
      </w:r>
      <w:proofErr w:type="spellStart"/>
      <w:r w:rsidRPr="005765C2">
        <w:rPr>
          <w:rFonts w:asciiTheme="minorHAnsi" w:hAnsiTheme="minorHAnsi" w:cstheme="minorHAnsi"/>
          <w:color w:val="000000"/>
          <w:lang w:eastAsia="en-GB"/>
        </w:rPr>
        <w:t>dm+d</w:t>
      </w:r>
      <w:proofErr w:type="spellEnd"/>
      <w:r w:rsidRPr="005765C2">
        <w:rPr>
          <w:rFonts w:asciiTheme="minorHAnsi" w:hAnsiTheme="minorHAnsi" w:cstheme="minorHAnsi"/>
          <w:color w:val="000000"/>
          <w:lang w:eastAsia="en-GB"/>
        </w:rPr>
        <w:t>) concepts from the specified allergy and intolerance subset.</w:t>
      </w:r>
    </w:p>
    <w:p w14:paraId="40D27266"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FHIR structure and standard is only an enabler for greater drug allergy interoperability. Drug allergy interoperability is only achieved when drug allergy concepts are understood by receiving systems - that is, they trigger equivalent prescribing decision support. Therefore, the benefits will not be achieved without participating systems being able to consistently process codes from the defined causative agent subset as concepts capable of triggering prescribing decision support in receiving systems.</w:t>
      </w:r>
    </w:p>
    <w:p w14:paraId="647B8B8B"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 xml:space="preserve">The system </w:t>
      </w:r>
      <w:proofErr w:type="gramStart"/>
      <w:r w:rsidRPr="005765C2">
        <w:rPr>
          <w:rFonts w:asciiTheme="minorHAnsi" w:hAnsiTheme="minorHAnsi" w:cstheme="minorHAnsi"/>
          <w:color w:val="000000"/>
          <w:lang w:eastAsia="en-GB"/>
        </w:rPr>
        <w:t>change</w:t>
      </w:r>
      <w:proofErr w:type="gramEnd"/>
      <w:r w:rsidRPr="005765C2">
        <w:rPr>
          <w:rFonts w:asciiTheme="minorHAnsi" w:hAnsiTheme="minorHAnsi" w:cstheme="minorHAnsi"/>
          <w:color w:val="000000"/>
          <w:lang w:eastAsia="en-GB"/>
        </w:rPr>
        <w:t xml:space="preserve"> to converge the coding of causative agents to the specified subset and make the causative agent subset consistently processable (by prescribing decision support modules across participating systems) falls outside the scope of this guidance.</w:t>
      </w:r>
    </w:p>
    <w:p w14:paraId="72A54130"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In the interim state it is expected that with the gradual adoption of the FHIR resource and associated terminologies, drug allergy interoperability will continue to be partial.</w:t>
      </w:r>
    </w:p>
    <w:p w14:paraId="48C2CBA4"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 adopts common approaches for expressing certainty and severity, increasing interoperability of qualifiers associated with allergies and intolerances.</w:t>
      </w:r>
    </w:p>
    <w:p w14:paraId="740B407F"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Greater expressivity around dates (end dates, onset, occurrence) is also supported.</w:t>
      </w:r>
    </w:p>
    <w:p w14:paraId="6EB633E2"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It is recognised that current support for the full range of severity qualifiers is limited and variable across systems, and existing support for the full range of date concepts will also be limited.</w:t>
      </w:r>
    </w:p>
    <w:p w14:paraId="5EF146BB"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It is also recognised that there will be interim challenges in mapping existing allergy and intolerance record structures to the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 In some systems, allergy and intolerance information may be a post-coordinated triple of allergy code, reaction/manifestation code and causative agent code. In other systems, a single pre-coordinated code serves to describe the allergy/intolerance concept and the causative agent. In the former case, the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 may not fully support the three coded concepts and in the latter case, there is currently no distinct identification of causative agent and reaction/manifestation.</w:t>
      </w:r>
    </w:p>
    <w:p w14:paraId="693367D8" w14:textId="77777777" w:rsidR="008B3ADB" w:rsidRPr="00657DF2" w:rsidRDefault="008B3ADB" w:rsidP="008B3ADB">
      <w:pPr>
        <w:pStyle w:val="Heading1"/>
        <w:rPr>
          <w:lang w:eastAsia="en-GB"/>
        </w:rPr>
      </w:pPr>
      <w:bookmarkStart w:id="10" w:name="_Toc526150809"/>
      <w:r w:rsidRPr="00657DF2">
        <w:rPr>
          <w:lang w:eastAsia="en-GB"/>
        </w:rPr>
        <w:t>Entries of allergy concepts as ‘non-allergies’ in source systems</w:t>
      </w:r>
      <w:bookmarkEnd w:id="10"/>
    </w:p>
    <w:p w14:paraId="7423C998"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Participating systems have a variety of record types/structures that explicitly represent allergy and intolerance structures within the patient record. These structures are explicitly selected by users to record allergy and intolerance information in the record or may be automatically triggered by attempts to enter allergy codes/concepts into the patient record. As these structures readily identify the presence of allergy/intolerance concepts in the record, they are readily identifiable and mappable to the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request when processing FHIR requests.</w:t>
      </w:r>
    </w:p>
    <w:p w14:paraId="1BF9BD4A"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lastRenderedPageBreak/>
        <w:t>It is also possible in some cases to bypass these data entry features and enter allergy codes/concepts as ordinary coded record entries in the patient record. Such entries may appear in the source system as ordinary journal entries and may not appear as allergies/intolerances in patient summaries or allergy/intolerance lists in provider systems.</w:t>
      </w:r>
    </w:p>
    <w:p w14:paraId="56DF771B" w14:textId="77777777" w:rsidR="008B3ADB" w:rsidRPr="00657DF2" w:rsidRDefault="008B3ADB" w:rsidP="008B3ADB">
      <w:pPr>
        <w:shd w:val="clear" w:color="auto" w:fill="FFFFFF"/>
        <w:spacing w:after="150"/>
        <w:rPr>
          <w:rFonts w:ascii="Helvetica" w:hAnsi="Helvetica"/>
          <w:color w:val="000000"/>
          <w:sz w:val="23"/>
          <w:szCs w:val="23"/>
          <w:lang w:eastAsia="en-GB"/>
        </w:rPr>
      </w:pPr>
      <w:r w:rsidRPr="005765C2">
        <w:rPr>
          <w:rFonts w:asciiTheme="minorHAnsi" w:hAnsiTheme="minorHAnsi" w:cstheme="minorHAnsi"/>
          <w:i/>
          <w:iCs/>
          <w:color w:val="000000"/>
          <w:lang w:eastAsia="en-GB"/>
        </w:rPr>
        <w:t xml:space="preserve">If it is possible on the provider system to record allergy concepts as non-allergies in the patient </w:t>
      </w:r>
      <w:proofErr w:type="gramStart"/>
      <w:r w:rsidRPr="005765C2">
        <w:rPr>
          <w:rFonts w:asciiTheme="minorHAnsi" w:hAnsiTheme="minorHAnsi" w:cstheme="minorHAnsi"/>
          <w:i/>
          <w:iCs/>
          <w:color w:val="000000"/>
          <w:lang w:eastAsia="en-GB"/>
        </w:rPr>
        <w:t>record</w:t>
      </w:r>
      <w:proofErr w:type="gramEnd"/>
      <w:r w:rsidRPr="005765C2">
        <w:rPr>
          <w:rFonts w:asciiTheme="minorHAnsi" w:hAnsiTheme="minorHAnsi" w:cstheme="minorHAnsi"/>
          <w:i/>
          <w:iCs/>
          <w:color w:val="000000"/>
          <w:lang w:eastAsia="en-GB"/>
        </w:rPr>
        <w:t xml:space="preserve"> then the system </w:t>
      </w:r>
      <w:proofErr w:type="spellStart"/>
      <w:r w:rsidRPr="005765C2">
        <w:rPr>
          <w:rFonts w:asciiTheme="minorHAnsi" w:hAnsiTheme="minorHAnsi" w:cstheme="minorHAnsi"/>
          <w:b/>
          <w:bCs/>
          <w:i/>
          <w:iCs/>
          <w:color w:val="000000"/>
          <w:lang w:eastAsia="en-GB"/>
        </w:rPr>
        <w:t>MUST</w:t>
      </w:r>
      <w:r w:rsidRPr="005765C2">
        <w:rPr>
          <w:rFonts w:asciiTheme="minorHAnsi" w:hAnsiTheme="minorHAnsi" w:cstheme="minorHAnsi"/>
          <w:i/>
          <w:iCs/>
          <w:color w:val="000000"/>
          <w:lang w:eastAsia="en-GB"/>
        </w:rPr>
        <w:t>express</w:t>
      </w:r>
      <w:proofErr w:type="spellEnd"/>
      <w:r w:rsidRPr="005765C2">
        <w:rPr>
          <w:rFonts w:asciiTheme="minorHAnsi" w:hAnsiTheme="minorHAnsi" w:cstheme="minorHAnsi"/>
          <w:i/>
          <w:iCs/>
          <w:color w:val="000000"/>
          <w:lang w:eastAsia="en-GB"/>
        </w:rPr>
        <w:t xml:space="preserve"> these record entries as FHIR </w:t>
      </w:r>
      <w:proofErr w:type="spellStart"/>
      <w:r w:rsidRPr="005765C2">
        <w:rPr>
          <w:rFonts w:asciiTheme="minorHAnsi" w:hAnsiTheme="minorHAnsi" w:cstheme="minorHAnsi"/>
          <w:i/>
          <w:iCs/>
          <w:color w:val="000000"/>
          <w:lang w:eastAsia="en-GB"/>
        </w:rPr>
        <w:t>AllergyIntolerance</w:t>
      </w:r>
      <w:proofErr w:type="spellEnd"/>
      <w:r w:rsidRPr="005765C2">
        <w:rPr>
          <w:rFonts w:asciiTheme="minorHAnsi" w:hAnsiTheme="minorHAnsi" w:cstheme="minorHAnsi"/>
          <w:i/>
          <w:iCs/>
          <w:color w:val="000000"/>
          <w:lang w:eastAsia="en-GB"/>
        </w:rPr>
        <w:t xml:space="preserve"> resources when queried.</w:t>
      </w:r>
    </w:p>
    <w:p w14:paraId="55E91BA0" w14:textId="77777777" w:rsidR="008B3ADB" w:rsidRPr="00657DF2" w:rsidRDefault="008B3ADB" w:rsidP="008B3ADB">
      <w:pPr>
        <w:pStyle w:val="Heading1"/>
        <w:rPr>
          <w:lang w:eastAsia="en-GB"/>
        </w:rPr>
      </w:pPr>
      <w:bookmarkStart w:id="11" w:name="_Toc526150810"/>
      <w:r w:rsidRPr="00657DF2">
        <w:rPr>
          <w:lang w:eastAsia="en-GB"/>
        </w:rPr>
        <w:t>Allergy/intolerance interoperability and clinical safety</w:t>
      </w:r>
      <w:bookmarkEnd w:id="11"/>
    </w:p>
    <w:p w14:paraId="6AD5BAA4"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It is recognised that allergy/intolerance information may not be fully interoperable between participating systems. Where allergy/intolerance information is not fully understood by a receiving system then it is the responsibility of the receiver to mitigate any risks arising and make related workflows as safe as possible.</w:t>
      </w:r>
    </w:p>
    <w:p w14:paraId="2466068A"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Where allergy/intolerance information is integrated into the consuming system patient record then allergy/intolerance information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degraded where the coded allergy/intolerance information is not fully understood by the consumer. In the context of drug allergies, an allergy/intolerance is only understood if the coded causative agent triggers equivalent prescribing decision support to that triggered on the producing system.</w:t>
      </w:r>
    </w:p>
    <w:p w14:paraId="79159167"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Degradation can be handled by coding the record entries resulting from the processed allergy as (</w:t>
      </w:r>
      <w:r w:rsidRPr="005765C2">
        <w:rPr>
          <w:rFonts w:asciiTheme="minorHAnsi" w:hAnsiTheme="minorHAnsi" w:cstheme="minorHAnsi"/>
          <w:color w:val="444444"/>
          <w:shd w:val="clear" w:color="auto" w:fill="F0F0F0"/>
          <w:lang w:eastAsia="en-GB"/>
        </w:rPr>
        <w:t>196461000000101</w:t>
      </w:r>
      <w:r w:rsidRPr="005765C2">
        <w:rPr>
          <w:rFonts w:asciiTheme="minorHAnsi" w:hAnsiTheme="minorHAnsi" w:cstheme="minorHAnsi"/>
          <w:color w:val="000000"/>
          <w:lang w:eastAsia="en-GB"/>
        </w:rPr>
        <w:t>, Transfer-degraded drug allergy) and preserving the original term for the received code as text.</w:t>
      </w:r>
    </w:p>
    <w:p w14:paraId="4B78223D"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Where the processing of drug allergy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resources results in degradation or the FHIR resource being processed is already coded as a degrade drug allergy code (</w:t>
      </w:r>
      <w:r w:rsidRPr="005765C2">
        <w:rPr>
          <w:rFonts w:asciiTheme="minorHAnsi" w:hAnsiTheme="minorHAnsi" w:cstheme="minorHAnsi"/>
          <w:color w:val="444444"/>
          <w:shd w:val="clear" w:color="auto" w:fill="F0F0F0"/>
          <w:lang w:eastAsia="en-GB"/>
        </w:rPr>
        <w:t>196461000000101</w:t>
      </w:r>
      <w:r w:rsidRPr="005765C2">
        <w:rPr>
          <w:rFonts w:asciiTheme="minorHAnsi" w:hAnsiTheme="minorHAnsi" w:cstheme="minorHAnsi"/>
          <w:color w:val="000000"/>
          <w:lang w:eastAsia="en-GB"/>
        </w:rPr>
        <w:t>, Transfer-degraded drug allergy) then the consuming system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prevent prescribing while degraded drug allergies are present in the patient record and inform users attempting prescribing actions that prescribing is prevented due to the presence of degraded drug allergies.</w:t>
      </w:r>
    </w:p>
    <w:p w14:paraId="5AC667E2"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In other contexts, task-based workflows have been utilised to assist users on consuming systems to process degraded drug allergies by re-coding them to concepts understood by the consuming system.</w:t>
      </w:r>
    </w:p>
    <w:p w14:paraId="088C2E42"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i/>
          <w:iCs/>
          <w:color w:val="000000"/>
          <w:lang w:eastAsia="en-GB"/>
        </w:rPr>
        <w:t>When considering the implementation of use cases involving allergy/intolerance interoperability suppliers </w:t>
      </w:r>
      <w:r w:rsidRPr="005765C2">
        <w:rPr>
          <w:rFonts w:asciiTheme="minorHAnsi" w:hAnsiTheme="minorHAnsi" w:cstheme="minorHAnsi"/>
          <w:b/>
          <w:bCs/>
          <w:i/>
          <w:iCs/>
          <w:color w:val="000000"/>
          <w:lang w:eastAsia="en-GB"/>
        </w:rPr>
        <w:t>MUST</w:t>
      </w:r>
      <w:r w:rsidRPr="005765C2">
        <w:rPr>
          <w:rFonts w:asciiTheme="minorHAnsi" w:hAnsiTheme="minorHAnsi" w:cstheme="minorHAnsi"/>
          <w:i/>
          <w:iCs/>
          <w:color w:val="000000"/>
          <w:lang w:eastAsia="en-GB"/>
        </w:rPr>
        <w:t> perform an appropriate clinical safety assessment and obtain the necessary clinical safety approvals for the processing performed by their system.</w:t>
      </w:r>
    </w:p>
    <w:p w14:paraId="04D755B3" w14:textId="77777777" w:rsidR="008B3ADB" w:rsidRPr="00657DF2" w:rsidRDefault="008B3ADB" w:rsidP="008B3ADB">
      <w:pPr>
        <w:pStyle w:val="Heading1"/>
        <w:rPr>
          <w:lang w:eastAsia="en-GB"/>
        </w:rPr>
      </w:pPr>
      <w:bookmarkStart w:id="12" w:name="_Toc526150811"/>
      <w:r w:rsidRPr="00657DF2">
        <w:rPr>
          <w:lang w:eastAsia="en-GB"/>
        </w:rPr>
        <w:t>Orthogonality to problem orientation</w:t>
      </w:r>
      <w:bookmarkEnd w:id="12"/>
    </w:p>
    <w:p w14:paraId="53FF5E96"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 xml:space="preserve">On some participating systems it is possible to manage allergy/intolerance information via problem orientation. This means, for example, making an allergy/intolerance record entry a problem heading with associated </w:t>
      </w:r>
      <w:proofErr w:type="spellStart"/>
      <w:r w:rsidRPr="005765C2">
        <w:rPr>
          <w:rFonts w:asciiTheme="minorHAnsi" w:hAnsiTheme="minorHAnsi" w:cstheme="minorHAnsi"/>
          <w:color w:val="000000"/>
          <w:lang w:eastAsia="en-GB"/>
        </w:rPr>
        <w:t>episodicities</w:t>
      </w:r>
      <w:proofErr w:type="spellEnd"/>
      <w:r w:rsidRPr="005765C2">
        <w:rPr>
          <w:rFonts w:asciiTheme="minorHAnsi" w:hAnsiTheme="minorHAnsi" w:cstheme="minorHAnsi"/>
          <w:color w:val="000000"/>
          <w:lang w:eastAsia="en-GB"/>
        </w:rPr>
        <w:t>, priorities, linkage (to other record entries) and even start and end dates for the problem, independent of the allergy/intolerance record entry.</w:t>
      </w:r>
    </w:p>
    <w:p w14:paraId="06DC80EE"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i/>
          <w:iCs/>
          <w:color w:val="000000"/>
          <w:lang w:eastAsia="en-GB"/>
        </w:rPr>
        <w:t>The dual representation of an allergy/intolerance as a problem </w:t>
      </w:r>
      <w:r w:rsidRPr="005765C2">
        <w:rPr>
          <w:rFonts w:asciiTheme="minorHAnsi" w:hAnsiTheme="minorHAnsi" w:cstheme="minorHAnsi"/>
          <w:b/>
          <w:bCs/>
          <w:i/>
          <w:iCs/>
          <w:color w:val="000000"/>
          <w:lang w:eastAsia="en-GB"/>
        </w:rPr>
        <w:t>MUST NOT</w:t>
      </w:r>
      <w:r w:rsidRPr="005765C2">
        <w:rPr>
          <w:rFonts w:asciiTheme="minorHAnsi" w:hAnsiTheme="minorHAnsi" w:cstheme="minorHAnsi"/>
          <w:i/>
          <w:iCs/>
          <w:color w:val="000000"/>
          <w:lang w:eastAsia="en-GB"/>
        </w:rPr>
        <w:t> affect the representation of the allergy/intolerance via the FHIR resource.</w:t>
      </w:r>
    </w:p>
    <w:p w14:paraId="544AD52B" w14:textId="77777777" w:rsidR="008B3ADB" w:rsidRPr="00657DF2" w:rsidRDefault="008B3ADB" w:rsidP="008B3ADB">
      <w:pPr>
        <w:pStyle w:val="Heading1"/>
        <w:rPr>
          <w:lang w:eastAsia="en-GB"/>
        </w:rPr>
      </w:pPr>
      <w:bookmarkStart w:id="13" w:name="_Toc526150812"/>
      <w:r w:rsidRPr="00657DF2">
        <w:rPr>
          <w:lang w:eastAsia="en-GB"/>
        </w:rPr>
        <w:lastRenderedPageBreak/>
        <w:t>Unsupported qualifiers</w:t>
      </w:r>
      <w:bookmarkEnd w:id="13"/>
    </w:p>
    <w:p w14:paraId="55E0C0FD"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 xml:space="preserve">It is possible on some participating systems to attach system specific qualifiers to allergy or intolerance record entries, for example a priority for the allergy/intolerance record entry or an </w:t>
      </w:r>
      <w:proofErr w:type="spellStart"/>
      <w:r w:rsidRPr="005765C2">
        <w:rPr>
          <w:rFonts w:asciiTheme="minorHAnsi" w:hAnsiTheme="minorHAnsi" w:cstheme="minorHAnsi"/>
          <w:color w:val="000000"/>
          <w:lang w:eastAsia="en-GB"/>
        </w:rPr>
        <w:t>episodicity</w:t>
      </w:r>
      <w:proofErr w:type="spellEnd"/>
      <w:r w:rsidRPr="005765C2">
        <w:rPr>
          <w:rFonts w:asciiTheme="minorHAnsi" w:hAnsiTheme="minorHAnsi" w:cstheme="minorHAnsi"/>
          <w:color w:val="000000"/>
          <w:lang w:eastAsia="en-GB"/>
        </w:rPr>
        <w:t>. Similarly, some systems support richer sets of values for severity than are catered for via the criticality and reaction/severity elements. The certainty qualifiers that exist in participating systems are not supported. In all cases, the full set of qualifiers and values that are associated with an allergy/intolerance in the source system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rendered as text (suitable formatted name/value pairs) and placed in the </w:t>
      </w:r>
      <w:proofErr w:type="spellStart"/>
      <w:r w:rsidRPr="005765C2">
        <w:rPr>
          <w:rFonts w:asciiTheme="minorHAnsi" w:hAnsiTheme="minorHAnsi" w:cstheme="minorHAnsi"/>
          <w:color w:val="444444"/>
          <w:shd w:val="clear" w:color="auto" w:fill="F0F0F0"/>
          <w:lang w:eastAsia="en-GB"/>
        </w:rPr>
        <w:t>AllergyIntolerance.note</w:t>
      </w:r>
      <w:proofErr w:type="spellEnd"/>
      <w:r w:rsidRPr="005765C2">
        <w:rPr>
          <w:rFonts w:asciiTheme="minorHAnsi" w:hAnsiTheme="minorHAnsi" w:cstheme="minorHAnsi"/>
          <w:color w:val="000000"/>
          <w:lang w:eastAsia="en-GB"/>
        </w:rPr>
        <w:t> element.</w:t>
      </w:r>
    </w:p>
    <w:p w14:paraId="2A58991B" w14:textId="77777777" w:rsidR="008B3ADB" w:rsidRPr="00657DF2" w:rsidRDefault="008B3ADB" w:rsidP="008B3ADB">
      <w:pPr>
        <w:pStyle w:val="Heading1"/>
        <w:rPr>
          <w:lang w:eastAsia="en-GB"/>
        </w:rPr>
      </w:pPr>
      <w:bookmarkStart w:id="14" w:name="_Toc526150813"/>
      <w:r w:rsidRPr="00657DF2">
        <w:rPr>
          <w:lang w:eastAsia="en-GB"/>
        </w:rPr>
        <w:t>Adoption of single notes field</w:t>
      </w:r>
      <w:bookmarkEnd w:id="14"/>
    </w:p>
    <w:p w14:paraId="23F66991"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 xml:space="preserve">Rather than split descriptive and user entered text across </w:t>
      </w:r>
      <w:proofErr w:type="gramStart"/>
      <w:r w:rsidRPr="005765C2">
        <w:rPr>
          <w:rFonts w:asciiTheme="minorHAnsi" w:hAnsiTheme="minorHAnsi" w:cstheme="minorHAnsi"/>
          <w:color w:val="000000"/>
          <w:lang w:eastAsia="en-GB"/>
        </w:rPr>
        <w:t>a number of</w:t>
      </w:r>
      <w:proofErr w:type="gramEnd"/>
      <w:r w:rsidRPr="005765C2">
        <w:rPr>
          <w:rFonts w:asciiTheme="minorHAnsi" w:hAnsiTheme="minorHAnsi" w:cstheme="minorHAnsi"/>
          <w:color w:val="000000"/>
          <w:lang w:eastAsia="en-GB"/>
        </w:rPr>
        <w:t xml:space="preserve"> notes fields the </w:t>
      </w:r>
      <w:proofErr w:type="spellStart"/>
      <w:r w:rsidRPr="005765C2">
        <w:rPr>
          <w:rFonts w:asciiTheme="minorHAnsi" w:hAnsiTheme="minorHAnsi" w:cstheme="minorHAnsi"/>
          <w:color w:val="444444"/>
          <w:shd w:val="clear" w:color="auto" w:fill="F0F0F0"/>
          <w:lang w:eastAsia="en-GB"/>
        </w:rPr>
        <w:t>AllergyIntolerance.note</w:t>
      </w:r>
      <w:proofErr w:type="spellEnd"/>
      <w:r w:rsidRPr="005765C2">
        <w:rPr>
          <w:rFonts w:asciiTheme="minorHAnsi" w:hAnsiTheme="minorHAnsi" w:cstheme="minorHAnsi"/>
          <w:color w:val="000000"/>
          <w:lang w:eastAsia="en-GB"/>
        </w:rPr>
        <w:t> element is used as the single notes field to convey all qualifiers and user-entered text associated with the allergy or intolerance in a single place. Qualifiers and values expressed as text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appropriately labelled and formatted and where user notes have been entered against explicit fields such as certainty then appropriate labels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used.</w:t>
      </w:r>
    </w:p>
    <w:p w14:paraId="3F3CA177" w14:textId="77777777" w:rsidR="008B3ADB" w:rsidRPr="00657DF2" w:rsidRDefault="008B3ADB" w:rsidP="008B3ADB">
      <w:pPr>
        <w:pStyle w:val="Heading1"/>
        <w:rPr>
          <w:lang w:eastAsia="en-GB"/>
        </w:rPr>
      </w:pPr>
      <w:bookmarkStart w:id="15" w:name="_Toc526150814"/>
      <w:r w:rsidRPr="00657DF2">
        <w:rPr>
          <w:lang w:eastAsia="en-GB"/>
        </w:rPr>
        <w:t>‘Resolved’ allergies and intolerances</w:t>
      </w:r>
      <w:bookmarkEnd w:id="15"/>
    </w:p>
    <w:p w14:paraId="140B1824"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On some systems it is possible to explicitly mark an allergy or intolerance as resolved or ended, such that it still appears in the patient record but is no longer active and no longer interacts with prescribing decision support. This inactivation may be achieved by explicit entry of an end date or a user action that alters the status of the allergy or intolerance.</w:t>
      </w:r>
    </w:p>
    <w:p w14:paraId="08A9E29E"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Allergies and intolerances which have been explicitly resolved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only be returned in response to resource queries which have the </w:t>
      </w:r>
      <w:proofErr w:type="spellStart"/>
      <w:r w:rsidRPr="005765C2">
        <w:rPr>
          <w:rFonts w:asciiTheme="minorHAnsi" w:hAnsiTheme="minorHAnsi" w:cstheme="minorHAnsi"/>
          <w:i/>
          <w:iCs/>
          <w:color w:val="000000"/>
          <w:lang w:eastAsia="en-GB"/>
        </w:rPr>
        <w:t>includeResolvedAllergies</w:t>
      </w:r>
      <w:proofErr w:type="spellEnd"/>
      <w:r w:rsidRPr="005765C2">
        <w:rPr>
          <w:rFonts w:asciiTheme="minorHAnsi" w:hAnsiTheme="minorHAnsi" w:cstheme="minorHAnsi"/>
          <w:color w:val="000000"/>
          <w:lang w:eastAsia="en-GB"/>
        </w:rPr>
        <w:t> parameter set to true (see </w:t>
      </w:r>
      <w:hyperlink r:id="rId20" w:history="1">
        <w:r w:rsidRPr="005765C2">
          <w:rPr>
            <w:rFonts w:asciiTheme="minorHAnsi" w:hAnsiTheme="minorHAnsi" w:cstheme="minorHAnsi"/>
            <w:color w:val="248EC2"/>
            <w:lang w:eastAsia="en-GB"/>
          </w:rPr>
          <w:t>Retrieve a patient’s structured record</w:t>
        </w:r>
      </w:hyperlink>
      <w:r w:rsidRPr="005765C2">
        <w:rPr>
          <w:rFonts w:asciiTheme="minorHAnsi" w:hAnsiTheme="minorHAnsi" w:cstheme="minorHAnsi"/>
          <w:color w:val="000000"/>
          <w:lang w:eastAsia="en-GB"/>
        </w:rPr>
        <w:t>).</w:t>
      </w:r>
    </w:p>
    <w:p w14:paraId="78676A16"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When the provider is sending resolved allergies, it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send them in a separate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to the active allergies as contained resources in that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The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have the title ‘Ended allergies’ and resolved allergy resources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assigned a </w:t>
      </w:r>
      <w:proofErr w:type="spellStart"/>
      <w:r w:rsidRPr="005765C2">
        <w:rPr>
          <w:rFonts w:asciiTheme="minorHAnsi" w:hAnsiTheme="minorHAnsi" w:cstheme="minorHAnsi"/>
          <w:color w:val="444444"/>
          <w:shd w:val="clear" w:color="auto" w:fill="F0F0F0"/>
          <w:lang w:eastAsia="en-GB"/>
        </w:rPr>
        <w:t>clinicalStatus</w:t>
      </w:r>
      <w:proofErr w:type="spellEnd"/>
      <w:r w:rsidRPr="005765C2">
        <w:rPr>
          <w:rFonts w:asciiTheme="minorHAnsi" w:hAnsiTheme="minorHAnsi" w:cstheme="minorHAnsi"/>
          <w:color w:val="000000"/>
          <w:lang w:eastAsia="en-GB"/>
        </w:rPr>
        <w:t> of </w:t>
      </w:r>
      <w:r w:rsidRPr="005765C2">
        <w:rPr>
          <w:rFonts w:asciiTheme="minorHAnsi" w:hAnsiTheme="minorHAnsi" w:cstheme="minorHAnsi"/>
          <w:color w:val="444444"/>
          <w:shd w:val="clear" w:color="auto" w:fill="F0F0F0"/>
          <w:lang w:eastAsia="en-GB"/>
        </w:rPr>
        <w:t>resolved</w:t>
      </w:r>
      <w:r w:rsidRPr="005765C2">
        <w:rPr>
          <w:rFonts w:asciiTheme="minorHAnsi" w:hAnsiTheme="minorHAnsi" w:cstheme="minorHAnsi"/>
          <w:color w:val="000000"/>
          <w:lang w:eastAsia="en-GB"/>
        </w:rPr>
        <w:t>. A title of ‘Allergies and adverse reactions’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used for the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containing the active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resources.</w:t>
      </w:r>
    </w:p>
    <w:p w14:paraId="325DD204"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Consuming systems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ensure that resolved allergies are not treated as active - that is, they </w:t>
      </w:r>
      <w:r w:rsidRPr="005765C2">
        <w:rPr>
          <w:rFonts w:asciiTheme="minorHAnsi" w:hAnsiTheme="minorHAnsi" w:cstheme="minorHAnsi"/>
          <w:b/>
          <w:bCs/>
          <w:color w:val="000000"/>
          <w:lang w:eastAsia="en-GB"/>
        </w:rPr>
        <w:t>MUST NOT</w:t>
      </w:r>
      <w:r w:rsidRPr="005765C2">
        <w:rPr>
          <w:rFonts w:asciiTheme="minorHAnsi" w:hAnsiTheme="minorHAnsi" w:cstheme="minorHAnsi"/>
          <w:color w:val="000000"/>
          <w:lang w:eastAsia="en-GB"/>
        </w:rPr>
        <w:t> interact with prescribing decision support or be misinterpreted by users as being active.</w:t>
      </w:r>
    </w:p>
    <w:p w14:paraId="544EBF64"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Where the consuming system does not natively support a resolved allergy concept, suppliers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seek appropriate clinical safety advice on the handling of the resolved allergy concept.</w:t>
      </w:r>
    </w:p>
    <w:p w14:paraId="6C11344B" w14:textId="77777777" w:rsidR="008B3ADB" w:rsidRPr="00657DF2" w:rsidRDefault="008B3ADB" w:rsidP="008B3ADB">
      <w:pPr>
        <w:pStyle w:val="Heading1"/>
        <w:rPr>
          <w:lang w:eastAsia="en-GB"/>
        </w:rPr>
      </w:pPr>
      <w:bookmarkStart w:id="16" w:name="_Toc526150815"/>
      <w:r w:rsidRPr="00657DF2">
        <w:rPr>
          <w:lang w:eastAsia="en-GB"/>
        </w:rPr>
        <w:t>Relationship to yellow card</w:t>
      </w:r>
      <w:bookmarkEnd w:id="16"/>
    </w:p>
    <w:p w14:paraId="6B1020B2"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Allergy and intolerance information may co-exist alongside system support for the capture of medication adverse reactions via the MHRA Yellow Card scheme. Suppliers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ensure that only information directly associated with the allergy and intolerance entry in the system is included in the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 and not data only associated with the MHRA yellow card dataset.</w:t>
      </w:r>
    </w:p>
    <w:p w14:paraId="64C34BD1" w14:textId="77777777" w:rsidR="008B3ADB" w:rsidRPr="00657DF2" w:rsidRDefault="008B3ADB" w:rsidP="008B3ADB">
      <w:pPr>
        <w:pStyle w:val="Heading1"/>
        <w:rPr>
          <w:lang w:eastAsia="en-GB"/>
        </w:rPr>
      </w:pPr>
      <w:bookmarkStart w:id="17" w:name="_Toc526150816"/>
      <w:proofErr w:type="spellStart"/>
      <w:r w:rsidRPr="00657DF2">
        <w:rPr>
          <w:lang w:eastAsia="en-GB"/>
        </w:rPr>
        <w:lastRenderedPageBreak/>
        <w:t>AllergyIntolerance</w:t>
      </w:r>
      <w:proofErr w:type="spellEnd"/>
      <w:r w:rsidRPr="00657DF2">
        <w:rPr>
          <w:lang w:eastAsia="en-GB"/>
        </w:rPr>
        <w:t xml:space="preserve"> category</w:t>
      </w:r>
      <w:bookmarkEnd w:id="17"/>
    </w:p>
    <w:p w14:paraId="33407435"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It is expected that it will always be possible to assign a category of ‘medication’ for drug allergies or ‘environmental’ for all other types of allergy/intolerance. Generally, the choice in a given system is explicit. In some cases, the type of allergy or intolerance may be more general - for example, a system designated type of ‘Other’ or equivalent. In such cases, if the allergy or intolerance entry interacts with prescribing decision support it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assigned a </w:t>
      </w:r>
      <w:r w:rsidRPr="005765C2">
        <w:rPr>
          <w:rFonts w:asciiTheme="minorHAnsi" w:hAnsiTheme="minorHAnsi" w:cstheme="minorHAnsi"/>
          <w:color w:val="444444"/>
          <w:shd w:val="clear" w:color="auto" w:fill="F0F0F0"/>
          <w:lang w:eastAsia="en-GB"/>
        </w:rPr>
        <w:t>category</w:t>
      </w:r>
      <w:r w:rsidRPr="005765C2">
        <w:rPr>
          <w:rFonts w:asciiTheme="minorHAnsi" w:hAnsiTheme="minorHAnsi" w:cstheme="minorHAnsi"/>
          <w:color w:val="000000"/>
          <w:lang w:eastAsia="en-GB"/>
        </w:rPr>
        <w:t> of </w:t>
      </w:r>
      <w:r w:rsidRPr="005765C2">
        <w:rPr>
          <w:rFonts w:asciiTheme="minorHAnsi" w:hAnsiTheme="minorHAnsi" w:cstheme="minorHAnsi"/>
          <w:color w:val="444444"/>
          <w:shd w:val="clear" w:color="auto" w:fill="F0F0F0"/>
          <w:lang w:eastAsia="en-GB"/>
        </w:rPr>
        <w:t>medication</w:t>
      </w:r>
      <w:r w:rsidRPr="005765C2">
        <w:rPr>
          <w:rFonts w:asciiTheme="minorHAnsi" w:hAnsiTheme="minorHAnsi" w:cstheme="minorHAnsi"/>
          <w:color w:val="000000"/>
          <w:lang w:eastAsia="en-GB"/>
        </w:rPr>
        <w:t>. Otherwise, the category of </w:t>
      </w:r>
      <w:r w:rsidRPr="005765C2">
        <w:rPr>
          <w:rFonts w:asciiTheme="minorHAnsi" w:hAnsiTheme="minorHAnsi" w:cstheme="minorHAnsi"/>
          <w:color w:val="444444"/>
          <w:shd w:val="clear" w:color="auto" w:fill="F0F0F0"/>
          <w:lang w:eastAsia="en-GB"/>
        </w:rPr>
        <w:t>environmental</w:t>
      </w:r>
      <w:r w:rsidRPr="005765C2">
        <w:rPr>
          <w:rFonts w:asciiTheme="minorHAnsi" w:hAnsiTheme="minorHAnsi" w:cstheme="minorHAnsi"/>
          <w:color w:val="000000"/>
          <w:lang w:eastAsia="en-GB"/>
        </w:rPr>
        <w:t>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used.</w:t>
      </w:r>
    </w:p>
    <w:p w14:paraId="4AB6E294" w14:textId="77777777" w:rsidR="008B3ADB" w:rsidRPr="00657DF2" w:rsidRDefault="008B3ADB" w:rsidP="008B3ADB">
      <w:pPr>
        <w:pStyle w:val="Heading1"/>
        <w:rPr>
          <w:lang w:eastAsia="en-GB"/>
        </w:rPr>
      </w:pPr>
      <w:bookmarkStart w:id="18" w:name="_Toc526150817"/>
      <w:r w:rsidRPr="00657DF2">
        <w:rPr>
          <w:lang w:eastAsia="en-GB"/>
        </w:rPr>
        <w:t>Date usage</w:t>
      </w:r>
      <w:bookmarkEnd w:id="18"/>
    </w:p>
    <w:p w14:paraId="651F32FC"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 supports a rich set of date concepts. However, there is currently limited support for additional date concepts via the allergy record structures in producing systems.</w:t>
      </w:r>
    </w:p>
    <w:p w14:paraId="78F3EAF9"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asserted date is when the allergy related to the patient was asserted. In many cases, this will be when the allergy is entered on to the system, although systems may allow this date to be modified by the user.</w:t>
      </w:r>
    </w:p>
    <w:p w14:paraId="408A5535"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If a producing system, currently or at a future point supports allergy date concepts that explicitly capture onset dates and last occurrence dates, then the </w:t>
      </w:r>
      <w:proofErr w:type="spellStart"/>
      <w:r w:rsidRPr="005765C2">
        <w:rPr>
          <w:rFonts w:asciiTheme="minorHAnsi" w:hAnsiTheme="minorHAnsi" w:cstheme="minorHAnsi"/>
          <w:color w:val="444444"/>
          <w:shd w:val="clear" w:color="auto" w:fill="F0F0F0"/>
          <w:lang w:eastAsia="en-GB"/>
        </w:rPr>
        <w:t>onsetDateTime</w:t>
      </w:r>
      <w:proofErr w:type="spellEnd"/>
      <w:r w:rsidRPr="005765C2">
        <w:rPr>
          <w:rFonts w:asciiTheme="minorHAnsi" w:hAnsiTheme="minorHAnsi" w:cstheme="minorHAnsi"/>
          <w:color w:val="000000"/>
          <w:lang w:eastAsia="en-GB"/>
        </w:rPr>
        <w:t> and </w:t>
      </w:r>
      <w:proofErr w:type="spellStart"/>
      <w:r w:rsidRPr="005765C2">
        <w:rPr>
          <w:rFonts w:asciiTheme="minorHAnsi" w:hAnsiTheme="minorHAnsi" w:cstheme="minorHAnsi"/>
          <w:color w:val="444444"/>
          <w:shd w:val="clear" w:color="auto" w:fill="F0F0F0"/>
          <w:lang w:eastAsia="en-GB"/>
        </w:rPr>
        <w:t>lastOccurrence</w:t>
      </w:r>
      <w:proofErr w:type="spellEnd"/>
      <w:r w:rsidRPr="005765C2">
        <w:rPr>
          <w:rFonts w:asciiTheme="minorHAnsi" w:hAnsiTheme="minorHAnsi" w:cstheme="minorHAnsi"/>
          <w:color w:val="000000"/>
          <w:lang w:eastAsia="en-GB"/>
        </w:rPr>
        <w:t> elements of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may be populated.</w:t>
      </w:r>
    </w:p>
    <w:p w14:paraId="15F3AABF" w14:textId="77777777" w:rsidR="008B3ADB" w:rsidRPr="00657DF2" w:rsidRDefault="008B3ADB" w:rsidP="008B3ADB">
      <w:pPr>
        <w:pStyle w:val="Heading1"/>
        <w:rPr>
          <w:lang w:eastAsia="en-GB"/>
        </w:rPr>
      </w:pPr>
      <w:bookmarkStart w:id="19" w:name="_Toc526150818"/>
      <w:r w:rsidRPr="00657DF2">
        <w:rPr>
          <w:lang w:eastAsia="en-GB"/>
        </w:rPr>
        <w:t>Unsupported codes</w:t>
      </w:r>
      <w:bookmarkEnd w:id="19"/>
    </w:p>
    <w:p w14:paraId="3FEA28B8"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In some of the participating systems, an additional coded concept may be entered that represents the allergy or intolerance in addition to coding of the causative agent and reaction. These additional codes are not explicitly supported by the </w:t>
      </w:r>
      <w:proofErr w:type="spellStart"/>
      <w:r w:rsidRPr="005765C2">
        <w:rPr>
          <w:rFonts w:asciiTheme="minorHAnsi" w:hAnsiTheme="minorHAnsi" w:cstheme="minorHAnsi"/>
          <w:color w:val="444444"/>
          <w:shd w:val="clear" w:color="auto" w:fill="F0F0F0"/>
          <w:lang w:eastAsia="en-GB"/>
        </w:rPr>
        <w:t>AllergyIntolerance</w:t>
      </w:r>
      <w:proofErr w:type="spellEnd"/>
      <w:r w:rsidRPr="005765C2">
        <w:rPr>
          <w:rFonts w:asciiTheme="minorHAnsi" w:hAnsiTheme="minorHAnsi" w:cstheme="minorHAnsi"/>
          <w:color w:val="000000"/>
          <w:lang w:eastAsia="en-GB"/>
        </w:rPr>
        <w:t> resource. The unsupported allergy code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encoded as a textual qualifier in the note element.</w:t>
      </w:r>
    </w:p>
    <w:p w14:paraId="1528F1B0"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i/>
          <w:iCs/>
          <w:color w:val="000000"/>
          <w:lang w:eastAsia="en-GB"/>
        </w:rPr>
        <w:t xml:space="preserve">The reasoning being that as systems converge on interoperable coding of allergies and intolerances via </w:t>
      </w:r>
      <w:proofErr w:type="spellStart"/>
      <w:r w:rsidRPr="005765C2">
        <w:rPr>
          <w:rFonts w:asciiTheme="minorHAnsi" w:hAnsiTheme="minorHAnsi" w:cstheme="minorHAnsi"/>
          <w:i/>
          <w:iCs/>
          <w:color w:val="000000"/>
          <w:lang w:eastAsia="en-GB"/>
        </w:rPr>
        <w:t>AllergyIntolerance</w:t>
      </w:r>
      <w:proofErr w:type="spellEnd"/>
      <w:r w:rsidRPr="005765C2">
        <w:rPr>
          <w:rFonts w:asciiTheme="minorHAnsi" w:hAnsiTheme="minorHAnsi" w:cstheme="minorHAnsi"/>
          <w:i/>
          <w:iCs/>
          <w:color w:val="000000"/>
          <w:lang w:eastAsia="en-GB"/>
        </w:rPr>
        <w:t>/code the need for another code to represent the allergy/intolerance concept diminishes.</w:t>
      </w:r>
    </w:p>
    <w:p w14:paraId="5ECCB46B" w14:textId="77777777" w:rsidR="008B3ADB" w:rsidRPr="00657DF2" w:rsidRDefault="008B3ADB" w:rsidP="008B3ADB">
      <w:pPr>
        <w:pStyle w:val="Heading1"/>
        <w:rPr>
          <w:lang w:eastAsia="en-GB"/>
        </w:rPr>
      </w:pPr>
      <w:bookmarkStart w:id="20" w:name="_Toc526150819"/>
      <w:r w:rsidRPr="00657DF2">
        <w:rPr>
          <w:lang w:eastAsia="en-GB"/>
        </w:rPr>
        <w:t>Negation - handling ‘no known allergies’</w:t>
      </w:r>
      <w:bookmarkEnd w:id="20"/>
    </w:p>
    <w:p w14:paraId="6E3251A6" w14:textId="4B329B08"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Where there is an explicit assertion of the ‘No Known Allergies’ concept in the record, equivalent to SNOMED CT concept </w:t>
      </w:r>
      <w:r w:rsidRPr="005765C2">
        <w:rPr>
          <w:rFonts w:asciiTheme="minorHAnsi" w:hAnsiTheme="minorHAnsi" w:cstheme="minorHAnsi"/>
          <w:color w:val="444444"/>
          <w:shd w:val="clear" w:color="auto" w:fill="F0F0F0"/>
          <w:lang w:eastAsia="en-GB"/>
        </w:rPr>
        <w:t>716186003</w:t>
      </w:r>
      <w:r w:rsidRPr="005765C2">
        <w:rPr>
          <w:rFonts w:asciiTheme="minorHAnsi" w:hAnsiTheme="minorHAnsi" w:cstheme="minorHAnsi"/>
          <w:color w:val="000000"/>
          <w:lang w:eastAsia="en-GB"/>
        </w:rPr>
        <w:t xml:space="preserve"> and children, and there are otherwise no allergy or intolerance entries in the patient record, then systems </w:t>
      </w:r>
      <w:r w:rsidR="005765C2" w:rsidRPr="005765C2">
        <w:rPr>
          <w:rFonts w:asciiTheme="minorHAnsi" w:hAnsiTheme="minorHAnsi" w:cstheme="minorHAnsi"/>
          <w:b/>
          <w:color w:val="000000"/>
          <w:lang w:eastAsia="en-GB"/>
        </w:rPr>
        <w:t>MUST</w:t>
      </w:r>
      <w:r w:rsidRPr="005765C2">
        <w:rPr>
          <w:rFonts w:asciiTheme="minorHAnsi" w:hAnsiTheme="minorHAnsi" w:cstheme="minorHAnsi"/>
          <w:color w:val="000000"/>
          <w:lang w:eastAsia="en-GB"/>
        </w:rPr>
        <w:t xml:space="preserve"> respond to queries for all allergy or intolerance resources using and </w:t>
      </w:r>
      <w:proofErr w:type="spellStart"/>
      <w:r w:rsidRPr="005765C2">
        <w:rPr>
          <w:rFonts w:asciiTheme="minorHAnsi" w:hAnsiTheme="minorHAnsi" w:cstheme="minorHAnsi"/>
          <w:color w:val="000000"/>
          <w:lang w:eastAsia="en-GB"/>
        </w:rPr>
        <w:t>AllergyIntolerance</w:t>
      </w:r>
      <w:proofErr w:type="spellEnd"/>
      <w:r w:rsidRPr="005765C2">
        <w:rPr>
          <w:rFonts w:asciiTheme="minorHAnsi" w:hAnsiTheme="minorHAnsi" w:cstheme="minorHAnsi"/>
          <w:color w:val="000000"/>
          <w:lang w:eastAsia="en-GB"/>
        </w:rPr>
        <w:t xml:space="preserve"> resource containing the appropriate code.</w:t>
      </w:r>
    </w:p>
    <w:p w14:paraId="1B7332E9"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Where there are no allergy or intolerance entries in the patient record, but no explicit recording of the ‘No Known Allergies’ concept and equivalents, then systems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return an empty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xml:space="preserve"> with an </w:t>
      </w:r>
      <w:proofErr w:type="spellStart"/>
      <w:r w:rsidRPr="005765C2">
        <w:rPr>
          <w:rFonts w:asciiTheme="minorHAnsi" w:hAnsiTheme="minorHAnsi" w:cstheme="minorHAnsi"/>
          <w:color w:val="000000"/>
          <w:lang w:eastAsia="en-GB"/>
        </w:rPr>
        <w:t>emptyReason</w:t>
      </w:r>
      <w:proofErr w:type="spellEnd"/>
      <w:r w:rsidRPr="005765C2">
        <w:rPr>
          <w:rFonts w:asciiTheme="minorHAnsi" w:hAnsiTheme="minorHAnsi" w:cstheme="minorHAnsi"/>
          <w:color w:val="000000"/>
          <w:lang w:eastAsia="en-GB"/>
        </w:rPr>
        <w:t xml:space="preserve"> FHIR code: “No content recorded” and a </w:t>
      </w:r>
      <w:proofErr w:type="spellStart"/>
      <w:r w:rsidRPr="005765C2">
        <w:rPr>
          <w:rFonts w:asciiTheme="minorHAnsi" w:hAnsiTheme="minorHAnsi" w:cstheme="minorHAnsi"/>
          <w:color w:val="444444"/>
          <w:shd w:val="clear" w:color="auto" w:fill="F0F0F0"/>
          <w:lang w:eastAsia="en-GB"/>
        </w:rPr>
        <w:t>List.note</w:t>
      </w:r>
      <w:proofErr w:type="spellEnd"/>
      <w:r w:rsidRPr="005765C2">
        <w:rPr>
          <w:rFonts w:asciiTheme="minorHAnsi" w:hAnsiTheme="minorHAnsi" w:cstheme="minorHAnsi"/>
          <w:color w:val="000000"/>
          <w:lang w:eastAsia="en-GB"/>
        </w:rPr>
        <w:t> with the text:</w:t>
      </w:r>
    </w:p>
    <w:p w14:paraId="2D74D3CF" w14:textId="77777777" w:rsidR="008B3ADB" w:rsidRPr="005765C2" w:rsidRDefault="008B3ADB" w:rsidP="008B3ADB">
      <w:pPr>
        <w:shd w:val="clear" w:color="auto" w:fill="FFFFFF"/>
        <w:rPr>
          <w:rFonts w:asciiTheme="minorHAnsi" w:hAnsiTheme="minorHAnsi" w:cstheme="minorHAnsi"/>
          <w:color w:val="000000"/>
          <w:lang w:eastAsia="en-GB"/>
        </w:rPr>
      </w:pPr>
      <w:r w:rsidRPr="005765C2">
        <w:rPr>
          <w:rFonts w:asciiTheme="minorHAnsi" w:hAnsiTheme="minorHAnsi" w:cstheme="minorHAnsi"/>
          <w:color w:val="000000"/>
          <w:lang w:eastAsia="en-GB"/>
        </w:rPr>
        <w:t>Information not available.</w:t>
      </w:r>
    </w:p>
    <w:p w14:paraId="75EE8AC1"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Because resolved allergies are queried via the </w:t>
      </w:r>
      <w:proofErr w:type="spellStart"/>
      <w:r w:rsidRPr="005765C2">
        <w:rPr>
          <w:rFonts w:asciiTheme="minorHAnsi" w:hAnsiTheme="minorHAnsi" w:cstheme="minorHAnsi"/>
          <w:color w:val="444444"/>
          <w:shd w:val="clear" w:color="auto" w:fill="F0F0F0"/>
          <w:lang w:eastAsia="en-GB"/>
        </w:rPr>
        <w:t>includeResolvedAllergies</w:t>
      </w:r>
      <w:proofErr w:type="spellEnd"/>
      <w:r w:rsidRPr="005765C2">
        <w:rPr>
          <w:rFonts w:asciiTheme="minorHAnsi" w:hAnsiTheme="minorHAnsi" w:cstheme="minorHAnsi"/>
          <w:color w:val="000000"/>
          <w:lang w:eastAsia="en-GB"/>
        </w:rPr>
        <w:t> query parameter and resolved allergies are conveyed via a separate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assertions of ‘No known allergies’ are true only in the context of a given list. Therefore, an empty ‘Active Allergies’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xml:space="preserve"> only asserts that there are no active allergies and “No content recorded” in the context of the </w:t>
      </w:r>
      <w:r w:rsidRPr="005765C2">
        <w:rPr>
          <w:rFonts w:asciiTheme="minorHAnsi" w:hAnsiTheme="minorHAnsi" w:cstheme="minorHAnsi"/>
          <w:color w:val="000000"/>
          <w:lang w:eastAsia="en-GB"/>
        </w:rPr>
        <w:lastRenderedPageBreak/>
        <w:t>active allergies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asserts that there are no active allergies to contradict the recorded ‘No Known Allergies’ code. Similarly, where the </w:t>
      </w:r>
      <w:proofErr w:type="spellStart"/>
      <w:r w:rsidRPr="005765C2">
        <w:rPr>
          <w:rFonts w:asciiTheme="minorHAnsi" w:hAnsiTheme="minorHAnsi" w:cstheme="minorHAnsi"/>
          <w:color w:val="444444"/>
          <w:shd w:val="clear" w:color="auto" w:fill="F0F0F0"/>
          <w:lang w:eastAsia="en-GB"/>
        </w:rPr>
        <w:t>includeResolvedAllergies</w:t>
      </w:r>
      <w:proofErr w:type="spellEnd"/>
      <w:r w:rsidRPr="005765C2">
        <w:rPr>
          <w:rFonts w:asciiTheme="minorHAnsi" w:hAnsiTheme="minorHAnsi" w:cstheme="minorHAnsi"/>
          <w:color w:val="000000"/>
          <w:lang w:eastAsia="en-GB"/>
        </w:rPr>
        <w:t> flag is present an empty ‘Resolved Allergies’ </w:t>
      </w:r>
      <w:r w:rsidRPr="005765C2">
        <w:rPr>
          <w:rFonts w:asciiTheme="minorHAnsi" w:hAnsiTheme="minorHAnsi" w:cstheme="minorHAnsi"/>
          <w:color w:val="444444"/>
          <w:shd w:val="clear" w:color="auto" w:fill="F0F0F0"/>
          <w:lang w:eastAsia="en-GB"/>
        </w:rPr>
        <w:t>List</w:t>
      </w:r>
      <w:r w:rsidRPr="005765C2">
        <w:rPr>
          <w:rFonts w:asciiTheme="minorHAnsi" w:hAnsiTheme="minorHAnsi" w:cstheme="minorHAnsi"/>
          <w:color w:val="000000"/>
          <w:lang w:eastAsia="en-GB"/>
        </w:rPr>
        <w:t> asserts the absence of resolved allergies and “No content recorded” asserts that the coding of ‘No Known Allergies’ is not contradicted by the presence of resolved allergies. Only the inclusion of the </w:t>
      </w:r>
      <w:proofErr w:type="spellStart"/>
      <w:r w:rsidRPr="005765C2">
        <w:rPr>
          <w:rFonts w:asciiTheme="minorHAnsi" w:hAnsiTheme="minorHAnsi" w:cstheme="minorHAnsi"/>
          <w:color w:val="444444"/>
          <w:shd w:val="clear" w:color="auto" w:fill="F0F0F0"/>
          <w:lang w:eastAsia="en-GB"/>
        </w:rPr>
        <w:t>includedResolvedAllergies</w:t>
      </w:r>
      <w:proofErr w:type="spellEnd"/>
      <w:r w:rsidRPr="005765C2">
        <w:rPr>
          <w:rFonts w:asciiTheme="minorHAnsi" w:hAnsiTheme="minorHAnsi" w:cstheme="minorHAnsi"/>
          <w:color w:val="000000"/>
          <w:lang w:eastAsia="en-GB"/>
        </w:rPr>
        <w:t> flag and emptiness of both lists can fully assert that there are no allergies (active or resolved) in the source record.</w:t>
      </w:r>
    </w:p>
    <w:p w14:paraId="5B4E1728"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In most use cases consuming systems are only interested in active allergies, but the solution supports the retrieval of resolved allergies where this is required.</w:t>
      </w:r>
    </w:p>
    <w:p w14:paraId="5DDB3BE9" w14:textId="77777777" w:rsidR="008B3ADB" w:rsidRPr="00657DF2" w:rsidRDefault="008B3ADB" w:rsidP="008B3ADB">
      <w:pPr>
        <w:pStyle w:val="Heading1"/>
        <w:rPr>
          <w:lang w:eastAsia="en-GB"/>
        </w:rPr>
      </w:pPr>
      <w:bookmarkStart w:id="21" w:name="_Toc526150820"/>
      <w:r w:rsidRPr="00657DF2">
        <w:rPr>
          <w:lang w:eastAsia="en-GB"/>
        </w:rPr>
        <w:t>Degradation actions to be performed by consumers not providers</w:t>
      </w:r>
      <w:bookmarkEnd w:id="21"/>
    </w:p>
    <w:p w14:paraId="3E964671"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Provider systems </w:t>
      </w:r>
      <w:r w:rsidRPr="005765C2">
        <w:rPr>
          <w:rFonts w:asciiTheme="minorHAnsi" w:hAnsiTheme="minorHAnsi" w:cstheme="minorHAnsi"/>
          <w:b/>
          <w:bCs/>
          <w:color w:val="000000"/>
          <w:lang w:eastAsia="en-GB"/>
        </w:rPr>
        <w:t>MUST NOT</w:t>
      </w:r>
      <w:r w:rsidRPr="005765C2">
        <w:rPr>
          <w:rFonts w:asciiTheme="minorHAnsi" w:hAnsiTheme="minorHAnsi" w:cstheme="minorHAnsi"/>
          <w:color w:val="000000"/>
          <w:lang w:eastAsia="en-GB"/>
        </w:rPr>
        <w:t> in principle limit potential interoperability by pre-emptively degrading coded information in export. It is a consumer responsibility to determine the understandability/processability of received resources and degrade if appropriate. In the case of drug allergies, understandability is determined by the consuming system being able to trigger equivalent prescribing decision support as the source system in response to the causative agent code.</w:t>
      </w:r>
    </w:p>
    <w:p w14:paraId="26192D00"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It is expected that initial GP Connect provider implementations will reflect the current state of provider systems prior to full convergence on the specified causative agent subset and at this point causative agents may be coded using legacy terminologies/code systems or contain codes in supported terminologies that lie outside the hierarchies specified by the causative agent subset.</w:t>
      </w:r>
    </w:p>
    <w:p w14:paraId="2EE02B93" w14:textId="77777777" w:rsidR="008B3ADB" w:rsidRPr="00657DF2" w:rsidRDefault="008B3ADB" w:rsidP="008B3ADB">
      <w:pPr>
        <w:pStyle w:val="Heading1"/>
        <w:rPr>
          <w:lang w:eastAsia="en-GB"/>
        </w:rPr>
      </w:pPr>
      <w:bookmarkStart w:id="22" w:name="_Toc526150821"/>
      <w:r w:rsidRPr="00657DF2">
        <w:rPr>
          <w:lang w:eastAsia="en-GB"/>
        </w:rPr>
        <w:t>Reaction cardinality</w:t>
      </w:r>
      <w:bookmarkEnd w:id="22"/>
    </w:p>
    <w:p w14:paraId="68F46052"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The </w:t>
      </w:r>
      <w:proofErr w:type="spellStart"/>
      <w:r w:rsidRPr="005765C2">
        <w:rPr>
          <w:rFonts w:asciiTheme="minorHAnsi" w:hAnsiTheme="minorHAnsi" w:cstheme="minorHAnsi"/>
          <w:color w:val="444444"/>
          <w:shd w:val="clear" w:color="auto" w:fill="F0F0F0"/>
          <w:lang w:eastAsia="en-GB"/>
        </w:rPr>
        <w:t>AllergyIntolerance.reaction</w:t>
      </w:r>
      <w:proofErr w:type="spellEnd"/>
      <w:r w:rsidRPr="005765C2">
        <w:rPr>
          <w:rFonts w:asciiTheme="minorHAnsi" w:hAnsiTheme="minorHAnsi" w:cstheme="minorHAnsi"/>
          <w:color w:val="000000"/>
          <w:lang w:eastAsia="en-GB"/>
        </w:rPr>
        <w:t> is optional, but where a severity is available in the source system it will be included to convey severity even if no other reaction details are explicitly available. If this is the case the </w:t>
      </w:r>
      <w:proofErr w:type="spellStart"/>
      <w:proofErr w:type="gramStart"/>
      <w:r w:rsidRPr="005765C2">
        <w:rPr>
          <w:rFonts w:asciiTheme="minorHAnsi" w:hAnsiTheme="minorHAnsi" w:cstheme="minorHAnsi"/>
          <w:color w:val="444444"/>
          <w:shd w:val="clear" w:color="auto" w:fill="F0F0F0"/>
          <w:lang w:eastAsia="en-GB"/>
        </w:rPr>
        <w:t>AllergyIntolerance.reaction.manifestation</w:t>
      </w:r>
      <w:proofErr w:type="spellEnd"/>
      <w:proofErr w:type="gramEnd"/>
      <w:r w:rsidRPr="005765C2">
        <w:rPr>
          <w:rFonts w:asciiTheme="minorHAnsi" w:hAnsiTheme="minorHAnsi" w:cstheme="minorHAnsi"/>
          <w:color w:val="000000"/>
          <w:lang w:eastAsia="en-GB"/>
        </w:rPr>
        <w:t>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xml:space="preserve"> be coded as </w:t>
      </w:r>
      <w:bookmarkStart w:id="23" w:name="_GoBack"/>
      <w:bookmarkEnd w:id="23"/>
      <w:r w:rsidRPr="005765C2">
        <w:rPr>
          <w:rFonts w:asciiTheme="minorHAnsi" w:hAnsiTheme="minorHAnsi" w:cstheme="minorHAnsi"/>
          <w:color w:val="000000"/>
          <w:lang w:eastAsia="en-GB"/>
        </w:rPr>
        <w:t>the </w:t>
      </w:r>
      <w:proofErr w:type="spellStart"/>
      <w:r w:rsidRPr="005765C2">
        <w:rPr>
          <w:rFonts w:asciiTheme="minorHAnsi" w:hAnsiTheme="minorHAnsi" w:cstheme="minorHAnsi"/>
          <w:color w:val="444444"/>
          <w:shd w:val="clear" w:color="auto" w:fill="F0F0F0"/>
          <w:lang w:eastAsia="en-GB"/>
        </w:rPr>
        <w:t>nullFlavor</w:t>
      </w:r>
      <w:proofErr w:type="spellEnd"/>
      <w:r w:rsidRPr="005765C2">
        <w:rPr>
          <w:rFonts w:asciiTheme="minorHAnsi" w:hAnsiTheme="minorHAnsi" w:cstheme="minorHAnsi"/>
          <w:color w:val="000000"/>
          <w:lang w:eastAsia="en-GB"/>
        </w:rPr>
        <w:t> NI.</w:t>
      </w:r>
    </w:p>
    <w:p w14:paraId="0220134B" w14:textId="77777777" w:rsidR="008B3ADB" w:rsidRPr="005765C2" w:rsidRDefault="008B3ADB" w:rsidP="008B3ADB">
      <w:pPr>
        <w:shd w:val="clear" w:color="auto" w:fill="FFFFFF"/>
        <w:spacing w:after="150"/>
        <w:rPr>
          <w:rFonts w:asciiTheme="minorHAnsi" w:hAnsiTheme="minorHAnsi" w:cstheme="minorHAnsi"/>
          <w:color w:val="000000"/>
          <w:lang w:eastAsia="en-GB"/>
        </w:rPr>
      </w:pPr>
      <w:r w:rsidRPr="005765C2">
        <w:rPr>
          <w:rFonts w:asciiTheme="minorHAnsi" w:hAnsiTheme="minorHAnsi" w:cstheme="minorHAnsi"/>
          <w:color w:val="000000"/>
          <w:lang w:eastAsia="en-GB"/>
        </w:rPr>
        <w:t>By convention, only one reaction </w:t>
      </w:r>
      <w:r w:rsidRPr="005765C2">
        <w:rPr>
          <w:rFonts w:asciiTheme="minorHAnsi" w:hAnsiTheme="minorHAnsi" w:cstheme="minorHAnsi"/>
          <w:b/>
          <w:bCs/>
          <w:color w:val="000000"/>
          <w:lang w:eastAsia="en-GB"/>
        </w:rPr>
        <w:t>MUST</w:t>
      </w:r>
      <w:r w:rsidRPr="005765C2">
        <w:rPr>
          <w:rFonts w:asciiTheme="minorHAnsi" w:hAnsiTheme="minorHAnsi" w:cstheme="minorHAnsi"/>
          <w:color w:val="000000"/>
          <w:lang w:eastAsia="en-GB"/>
        </w:rPr>
        <w:t> be expressed per allergy with only one manifestation per reaction.</w:t>
      </w:r>
    </w:p>
    <w:p w14:paraId="6762FD91" w14:textId="77777777" w:rsidR="00BA2AF4" w:rsidRPr="000D3D12" w:rsidRDefault="00BA2AF4" w:rsidP="008B3ADB">
      <w:pPr>
        <w:pStyle w:val="Heading1"/>
        <w:numPr>
          <w:ilvl w:val="0"/>
          <w:numId w:val="0"/>
        </w:numPr>
      </w:pPr>
    </w:p>
    <w:sectPr w:rsidR="00BA2AF4" w:rsidRPr="000D3D12" w:rsidSect="001E2958">
      <w:footerReference w:type="first" r:id="rId21"/>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E7E7" w14:textId="77777777" w:rsidR="000C1FAE" w:rsidRDefault="000C1FAE">
      <w:r>
        <w:separator/>
      </w:r>
    </w:p>
  </w:endnote>
  <w:endnote w:type="continuationSeparator" w:id="0">
    <w:p w14:paraId="26E8E187" w14:textId="77777777" w:rsidR="000C1FAE" w:rsidRDefault="000C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F1AD" w14:textId="77777777" w:rsidR="00615AC5" w:rsidRDefault="00615AC5" w:rsidP="00E249FF">
    <w:pPr>
      <w:pStyle w:val="Footer"/>
    </w:pPr>
  </w:p>
  <w:p w14:paraId="76AA2CDF" w14:textId="77777777" w:rsidR="00615AC5" w:rsidRDefault="00615AC5" w:rsidP="00C318D6">
    <w:pPr>
      <w:pStyle w:val="Footer"/>
      <w:jc w:val="right"/>
    </w:pPr>
  </w:p>
  <w:p w14:paraId="79885B99" w14:textId="77777777" w:rsidR="00615AC5" w:rsidRPr="001E2958" w:rsidRDefault="000971A9" w:rsidP="00215FD9">
    <w:pPr>
      <w:pStyle w:val="Footer"/>
    </w:pPr>
    <w:r>
      <w:t xml:space="preserve">Copyright © </w:t>
    </w:r>
    <w:sdt>
      <w:sdtPr>
        <w:alias w:val="Year"/>
        <w:tag w:val="YYYY"/>
        <w:id w:val="-951789870"/>
      </w:sdtPr>
      <w:sdtEndPr/>
      <w:sdtContent>
        <w:r>
          <w:t>2018</w:t>
        </w:r>
      </w:sdtContent>
    </w:sdt>
    <w:r>
      <w:t xml:space="preserve"> NHS Digital</w:t>
    </w:r>
    <w:r w:rsidR="00615AC5">
      <w:tab/>
    </w:r>
    <w:r w:rsidR="00615AC5" w:rsidRPr="001E2958">
      <w:t xml:space="preserve">Page </w:t>
    </w:r>
    <w:r w:rsidR="00615AC5" w:rsidRPr="001E2958">
      <w:fldChar w:fldCharType="begin"/>
    </w:r>
    <w:r w:rsidR="00615AC5" w:rsidRPr="001E2958">
      <w:instrText xml:space="preserve"> PAGE  \* Arabic  \* MERGEFORMAT </w:instrText>
    </w:r>
    <w:r w:rsidR="00615AC5" w:rsidRPr="001E2958">
      <w:fldChar w:fldCharType="separate"/>
    </w:r>
    <w:r>
      <w:rPr>
        <w:noProof/>
      </w:rPr>
      <w:t>4</w:t>
    </w:r>
    <w:r w:rsidR="00615AC5" w:rsidRPr="001E2958">
      <w:fldChar w:fldCharType="end"/>
    </w:r>
    <w:r w:rsidR="00615AC5" w:rsidRPr="001E2958">
      <w:t xml:space="preserve"> of </w:t>
    </w:r>
    <w:r w:rsidR="00A67267">
      <w:rPr>
        <w:noProof/>
      </w:rPr>
      <w:fldChar w:fldCharType="begin"/>
    </w:r>
    <w:r w:rsidR="00A67267">
      <w:rPr>
        <w:noProof/>
      </w:rPr>
      <w:instrText xml:space="preserve"> NUMPAGES </w:instrText>
    </w:r>
    <w:r w:rsidR="00A67267">
      <w:rPr>
        <w:noProof/>
      </w:rPr>
      <w:fldChar w:fldCharType="separate"/>
    </w:r>
    <w:r>
      <w:rPr>
        <w:noProof/>
      </w:rPr>
      <w:t>4</w:t>
    </w:r>
    <w:r w:rsidR="00A6726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5BFD" w14:textId="77777777" w:rsidR="00615AC5" w:rsidRDefault="00615AC5" w:rsidP="00E249FF">
    <w:pPr>
      <w:pStyle w:val="Footer"/>
    </w:pPr>
  </w:p>
  <w:p w14:paraId="0D90D8E6" w14:textId="77777777" w:rsidR="00615AC5" w:rsidRDefault="00615AC5" w:rsidP="00E249FF">
    <w:pPr>
      <w:pStyle w:val="Footer"/>
    </w:pPr>
    <w:r>
      <w:t>Copyright ©</w:t>
    </w:r>
    <w:sdt>
      <w:sdtPr>
        <w:alias w:val="Year"/>
        <w:tag w:val="YYYY"/>
        <w:id w:val="-1048608770"/>
        <w:lock w:val="sdtLocked"/>
      </w:sdtPr>
      <w:sdtEndPr/>
      <w:sdtContent>
        <w:r>
          <w:t>201</w:t>
        </w:r>
        <w:r w:rsidR="000971A9">
          <w:t>8</w:t>
        </w:r>
      </w:sdtContent>
    </w:sdt>
    <w:r w:rsidR="000971A9">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DE4075">
      <w:rPr>
        <w:noProof/>
      </w:rPr>
      <w:t>1</w:t>
    </w:r>
    <w:r w:rsidRPr="001E2958">
      <w:fldChar w:fldCharType="end"/>
    </w:r>
    <w:r w:rsidRPr="001E2958">
      <w:t xml:space="preserve"> of </w:t>
    </w:r>
    <w:r w:rsidR="00A67267">
      <w:rPr>
        <w:noProof/>
      </w:rPr>
      <w:fldChar w:fldCharType="begin"/>
    </w:r>
    <w:r w:rsidR="00A67267">
      <w:rPr>
        <w:noProof/>
      </w:rPr>
      <w:instrText xml:space="preserve"> NUMPAGES </w:instrText>
    </w:r>
    <w:r w:rsidR="00A67267">
      <w:rPr>
        <w:noProof/>
      </w:rPr>
      <w:fldChar w:fldCharType="separate"/>
    </w:r>
    <w:r w:rsidR="00DE4075">
      <w:rPr>
        <w:noProof/>
      </w:rPr>
      <w:t>1</w:t>
    </w:r>
    <w:r w:rsidR="00A67267">
      <w:rPr>
        <w:noProof/>
      </w:rPr>
      <w:fldChar w:fldCharType="end"/>
    </w:r>
    <w:r>
      <w:br/>
    </w:r>
  </w:p>
  <w:p w14:paraId="08DD96D2" w14:textId="77777777" w:rsidR="00615AC5" w:rsidRDefault="00615AC5"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E710" w14:textId="77777777" w:rsidR="00615AC5" w:rsidRDefault="00615AC5"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628833DE" w14:textId="77777777" w:rsidR="00615AC5" w:rsidRDefault="00615AC5">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99AC" w14:textId="77777777" w:rsidR="000C1FAE" w:rsidRDefault="000C1FAE">
      <w:r>
        <w:separator/>
      </w:r>
    </w:p>
  </w:footnote>
  <w:footnote w:type="continuationSeparator" w:id="0">
    <w:p w14:paraId="7AB33B43" w14:textId="77777777" w:rsidR="000C1FAE" w:rsidRDefault="000C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6ACA" w14:textId="3EEA3A00" w:rsidR="00615AC5" w:rsidRDefault="000C1FAE" w:rsidP="00CE7577">
    <w:pPr>
      <w:pStyle w:val="Header"/>
      <w:tabs>
        <w:tab w:val="clear" w:pos="9639"/>
        <w:tab w:val="right" w:pos="9781"/>
      </w:tabs>
    </w:pPr>
    <w:sdt>
      <w:sdtPr>
        <w:alias w:val="Title"/>
        <w:tag w:val=""/>
        <w:id w:val="-1262984887"/>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602282">
          <w:t>GPSoC</w:t>
        </w:r>
        <w:proofErr w:type="spellEnd"/>
        <w:r w:rsidR="00602282">
          <w:t xml:space="preserve"> Allergy Archetype -GP Connect allergy Guidance</w:t>
        </w:r>
      </w:sdtContent>
    </w:sdt>
    <w:r w:rsidR="00615AC5">
      <w:tab/>
    </w:r>
    <w:r w:rsidR="00615AC5" w:rsidRPr="009A450D">
      <w:t>v</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111B55">
          <w:t>1</w:t>
        </w:r>
      </w:sdtContent>
    </w:sdt>
    <w:r w:rsidR="00615AC5"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111B55">
          <w:t>Final</w:t>
        </w:r>
      </w:sdtContent>
    </w:sdt>
    <w:r w:rsidR="00615AC5"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r w:rsidR="005765C2">
          <w:t>09/10/2018</w:t>
        </w:r>
      </w:sdtContent>
    </w:sdt>
  </w:p>
  <w:p w14:paraId="3D9FA38C" w14:textId="77777777" w:rsidR="00615AC5" w:rsidRDefault="00615AC5"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1514" w14:textId="77777777" w:rsidR="00615AC5" w:rsidRDefault="00615AC5" w:rsidP="00BA25A7">
    <w:r>
      <w:rPr>
        <w:rFonts w:asciiTheme="minorHAnsi" w:hAnsiTheme="minorHAnsi"/>
        <w:b/>
        <w:bCs/>
        <w:noProof/>
        <w:lang w:eastAsia="en-GB"/>
      </w:rPr>
      <w:drawing>
        <wp:anchor distT="0" distB="0" distL="114300" distR="114300" simplePos="0" relativeHeight="251660288" behindDoc="1" locked="0" layoutInCell="1" allowOverlap="1" wp14:anchorId="357811CE" wp14:editId="5A4FCC6C">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6D9D8830" w14:textId="77777777" w:rsidR="00615AC5" w:rsidRDefault="00615AC5" w:rsidP="00BA25A7"/>
  <w:p w14:paraId="4F7E972B" w14:textId="77777777" w:rsidR="00615AC5" w:rsidRDefault="00615AC5"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09FB" w14:textId="77777777" w:rsidR="00615AC5" w:rsidRDefault="00615AC5" w:rsidP="00DA41AC">
    <w:pPr>
      <w:pStyle w:val="Header"/>
      <w:pBdr>
        <w:bottom w:val="single" w:sz="12" w:space="31" w:color="003350"/>
      </w:pBdr>
    </w:pPr>
  </w:p>
  <w:p w14:paraId="4FE099B4" w14:textId="77777777" w:rsidR="00615AC5" w:rsidRDefault="00615AC5" w:rsidP="00DA41AC">
    <w:pPr>
      <w:pStyle w:val="Header"/>
      <w:pBdr>
        <w:bottom w:val="single" w:sz="12" w:space="31" w:color="003350"/>
      </w:pBdr>
      <w:tabs>
        <w:tab w:val="clear" w:pos="9639"/>
        <w:tab w:val="right" w:pos="9638"/>
      </w:tabs>
    </w:pPr>
  </w:p>
  <w:p w14:paraId="76757F15" w14:textId="77777777" w:rsidR="00615AC5" w:rsidRDefault="00615AC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42623B1A" wp14:editId="4D82358D">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C2A0E"/>
    <w:multiLevelType w:val="multilevel"/>
    <w:tmpl w:val="B82013D8"/>
    <w:lvl w:ilvl="0">
      <w:start w:val="1"/>
      <w:numFmt w:val="decimal"/>
      <w:lvlText w:val="%1."/>
      <w:lvlJc w:val="left"/>
      <w:pPr>
        <w:ind w:left="720" w:hanging="360"/>
      </w:pPr>
      <w:rPr>
        <w:rFonts w:hint="default"/>
      </w:rPr>
    </w:lvl>
    <w:lvl w:ilvl="1">
      <w:start w:val="1"/>
      <w:numFmt w:val="decimal"/>
      <w:isLgl/>
      <w:lvlText w:val="%1.%2"/>
      <w:lvlJc w:val="left"/>
      <w:pPr>
        <w:ind w:left="1429"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B2C2A1E"/>
    <w:multiLevelType w:val="multilevel"/>
    <w:tmpl w:val="FA0E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A51BC"/>
    <w:multiLevelType w:val="multilevel"/>
    <w:tmpl w:val="A30A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84818"/>
    <w:multiLevelType w:val="multilevel"/>
    <w:tmpl w:val="D0780E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470001"/>
    <w:multiLevelType w:val="multilevel"/>
    <w:tmpl w:val="ABC8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B6F7880"/>
    <w:multiLevelType w:val="multilevel"/>
    <w:tmpl w:val="2C84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08548C"/>
    <w:multiLevelType w:val="hybridMultilevel"/>
    <w:tmpl w:val="7620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520E5"/>
    <w:multiLevelType w:val="hybridMultilevel"/>
    <w:tmpl w:val="3B46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84A6F25"/>
    <w:multiLevelType w:val="multilevel"/>
    <w:tmpl w:val="4D1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9"/>
  </w:num>
  <w:num w:numId="6">
    <w:abstractNumId w:val="5"/>
  </w:num>
  <w:num w:numId="7">
    <w:abstractNumId w:val="12"/>
  </w:num>
  <w:num w:numId="8">
    <w:abstractNumId w:val="0"/>
  </w:num>
  <w:num w:numId="9">
    <w:abstractNumId w:val="11"/>
  </w:num>
  <w:num w:numId="10">
    <w:abstractNumId w:val="1"/>
  </w:num>
  <w:num w:numId="11">
    <w:abstractNumId w:val="10"/>
  </w:num>
  <w:num w:numId="12">
    <w:abstractNumId w:val="8"/>
  </w:num>
  <w:num w:numId="13">
    <w:abstractNumId w:val="14"/>
  </w:num>
  <w:num w:numId="14">
    <w:abstractNumId w:val="3"/>
  </w:num>
  <w:num w:numId="15">
    <w:abstractNumId w:val="6"/>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31"/>
    <w:rsid w:val="0000101D"/>
    <w:rsid w:val="0000300B"/>
    <w:rsid w:val="000057E7"/>
    <w:rsid w:val="00005C23"/>
    <w:rsid w:val="000067A5"/>
    <w:rsid w:val="00007DA7"/>
    <w:rsid w:val="0001169A"/>
    <w:rsid w:val="00014D4F"/>
    <w:rsid w:val="00017485"/>
    <w:rsid w:val="00020C60"/>
    <w:rsid w:val="00021367"/>
    <w:rsid w:val="0002191A"/>
    <w:rsid w:val="00021E4B"/>
    <w:rsid w:val="000237C9"/>
    <w:rsid w:val="000241CE"/>
    <w:rsid w:val="000248D0"/>
    <w:rsid w:val="00024DEB"/>
    <w:rsid w:val="000360A0"/>
    <w:rsid w:val="00037089"/>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5E9"/>
    <w:rsid w:val="000635C5"/>
    <w:rsid w:val="00067153"/>
    <w:rsid w:val="000713A8"/>
    <w:rsid w:val="0007195C"/>
    <w:rsid w:val="00071C43"/>
    <w:rsid w:val="000720AA"/>
    <w:rsid w:val="00072772"/>
    <w:rsid w:val="000743D7"/>
    <w:rsid w:val="00080B96"/>
    <w:rsid w:val="0008111B"/>
    <w:rsid w:val="0008125E"/>
    <w:rsid w:val="00081EB5"/>
    <w:rsid w:val="000871A9"/>
    <w:rsid w:val="00087A78"/>
    <w:rsid w:val="00090645"/>
    <w:rsid w:val="00090F1A"/>
    <w:rsid w:val="000923B1"/>
    <w:rsid w:val="00093BDC"/>
    <w:rsid w:val="000971A9"/>
    <w:rsid w:val="000A009A"/>
    <w:rsid w:val="000A1A41"/>
    <w:rsid w:val="000A28B4"/>
    <w:rsid w:val="000A4BE0"/>
    <w:rsid w:val="000A69AB"/>
    <w:rsid w:val="000A6A50"/>
    <w:rsid w:val="000A7882"/>
    <w:rsid w:val="000A7FC1"/>
    <w:rsid w:val="000B10A8"/>
    <w:rsid w:val="000B1F50"/>
    <w:rsid w:val="000B295E"/>
    <w:rsid w:val="000B2F18"/>
    <w:rsid w:val="000B42CF"/>
    <w:rsid w:val="000B507D"/>
    <w:rsid w:val="000B5915"/>
    <w:rsid w:val="000B591F"/>
    <w:rsid w:val="000B6553"/>
    <w:rsid w:val="000B698B"/>
    <w:rsid w:val="000C07B8"/>
    <w:rsid w:val="000C1FAE"/>
    <w:rsid w:val="000C2945"/>
    <w:rsid w:val="000C38B5"/>
    <w:rsid w:val="000C52F2"/>
    <w:rsid w:val="000C5A53"/>
    <w:rsid w:val="000D029A"/>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7DE"/>
    <w:rsid w:val="00106858"/>
    <w:rsid w:val="00106BE0"/>
    <w:rsid w:val="00111B55"/>
    <w:rsid w:val="00112CF4"/>
    <w:rsid w:val="00112EDA"/>
    <w:rsid w:val="0011335E"/>
    <w:rsid w:val="001137E6"/>
    <w:rsid w:val="00114576"/>
    <w:rsid w:val="001164D0"/>
    <w:rsid w:val="00116B56"/>
    <w:rsid w:val="00116F6B"/>
    <w:rsid w:val="00117F0D"/>
    <w:rsid w:val="00121DF4"/>
    <w:rsid w:val="00123192"/>
    <w:rsid w:val="00127251"/>
    <w:rsid w:val="00130FA9"/>
    <w:rsid w:val="00132B22"/>
    <w:rsid w:val="00134787"/>
    <w:rsid w:val="001358F3"/>
    <w:rsid w:val="001363D2"/>
    <w:rsid w:val="001413A8"/>
    <w:rsid w:val="00143B0A"/>
    <w:rsid w:val="00145BCD"/>
    <w:rsid w:val="001463E7"/>
    <w:rsid w:val="00147FA4"/>
    <w:rsid w:val="00151BA2"/>
    <w:rsid w:val="00151DB9"/>
    <w:rsid w:val="00151DDB"/>
    <w:rsid w:val="00152175"/>
    <w:rsid w:val="00155D8C"/>
    <w:rsid w:val="00156BFB"/>
    <w:rsid w:val="00162700"/>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1DFA"/>
    <w:rsid w:val="00192B2D"/>
    <w:rsid w:val="00193DB3"/>
    <w:rsid w:val="00194C22"/>
    <w:rsid w:val="00195025"/>
    <w:rsid w:val="00196477"/>
    <w:rsid w:val="00196BB2"/>
    <w:rsid w:val="001A101D"/>
    <w:rsid w:val="001A2D79"/>
    <w:rsid w:val="001A3367"/>
    <w:rsid w:val="001A6F14"/>
    <w:rsid w:val="001A6F1A"/>
    <w:rsid w:val="001B0520"/>
    <w:rsid w:val="001B1406"/>
    <w:rsid w:val="001B5122"/>
    <w:rsid w:val="001B5443"/>
    <w:rsid w:val="001B65BC"/>
    <w:rsid w:val="001B7494"/>
    <w:rsid w:val="001B775A"/>
    <w:rsid w:val="001C203A"/>
    <w:rsid w:val="001C25C5"/>
    <w:rsid w:val="001C396F"/>
    <w:rsid w:val="001C4628"/>
    <w:rsid w:val="001C5C1C"/>
    <w:rsid w:val="001C6D58"/>
    <w:rsid w:val="001D084B"/>
    <w:rsid w:val="001D087F"/>
    <w:rsid w:val="001D13B8"/>
    <w:rsid w:val="001D15F9"/>
    <w:rsid w:val="001D16D7"/>
    <w:rsid w:val="001D343E"/>
    <w:rsid w:val="001D69F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313BD"/>
    <w:rsid w:val="002314A9"/>
    <w:rsid w:val="00231AA1"/>
    <w:rsid w:val="00231D8C"/>
    <w:rsid w:val="00233892"/>
    <w:rsid w:val="00233F29"/>
    <w:rsid w:val="002353B8"/>
    <w:rsid w:val="00237A11"/>
    <w:rsid w:val="00240635"/>
    <w:rsid w:val="002406BB"/>
    <w:rsid w:val="00240BB3"/>
    <w:rsid w:val="0024137D"/>
    <w:rsid w:val="00241DC2"/>
    <w:rsid w:val="00242BF3"/>
    <w:rsid w:val="00243E38"/>
    <w:rsid w:val="00247269"/>
    <w:rsid w:val="00247CDE"/>
    <w:rsid w:val="00254066"/>
    <w:rsid w:val="00254570"/>
    <w:rsid w:val="00255498"/>
    <w:rsid w:val="00256BAC"/>
    <w:rsid w:val="002579F0"/>
    <w:rsid w:val="002605D3"/>
    <w:rsid w:val="002608C9"/>
    <w:rsid w:val="0026358C"/>
    <w:rsid w:val="002674F6"/>
    <w:rsid w:val="002707F9"/>
    <w:rsid w:val="002736F5"/>
    <w:rsid w:val="00273F06"/>
    <w:rsid w:val="00277EC7"/>
    <w:rsid w:val="0028038D"/>
    <w:rsid w:val="00280524"/>
    <w:rsid w:val="00282203"/>
    <w:rsid w:val="00282924"/>
    <w:rsid w:val="00282B6F"/>
    <w:rsid w:val="002844D3"/>
    <w:rsid w:val="00284979"/>
    <w:rsid w:val="00287CFF"/>
    <w:rsid w:val="00287F19"/>
    <w:rsid w:val="0029141D"/>
    <w:rsid w:val="002937A2"/>
    <w:rsid w:val="00293C63"/>
    <w:rsid w:val="002943A7"/>
    <w:rsid w:val="00296F6C"/>
    <w:rsid w:val="0029767C"/>
    <w:rsid w:val="002A04F9"/>
    <w:rsid w:val="002A274F"/>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B7F92"/>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18D1"/>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3697"/>
    <w:rsid w:val="003755C1"/>
    <w:rsid w:val="00375745"/>
    <w:rsid w:val="003759C7"/>
    <w:rsid w:val="00375CAC"/>
    <w:rsid w:val="00377269"/>
    <w:rsid w:val="00377FA4"/>
    <w:rsid w:val="00380CF5"/>
    <w:rsid w:val="003841DF"/>
    <w:rsid w:val="00384E4F"/>
    <w:rsid w:val="00393197"/>
    <w:rsid w:val="00393E55"/>
    <w:rsid w:val="00393F11"/>
    <w:rsid w:val="003957A3"/>
    <w:rsid w:val="00395FC0"/>
    <w:rsid w:val="003972D7"/>
    <w:rsid w:val="003A15A3"/>
    <w:rsid w:val="003A4022"/>
    <w:rsid w:val="003A5EF4"/>
    <w:rsid w:val="003A6E9B"/>
    <w:rsid w:val="003A6EB0"/>
    <w:rsid w:val="003B061C"/>
    <w:rsid w:val="003B1D46"/>
    <w:rsid w:val="003B4E31"/>
    <w:rsid w:val="003B5558"/>
    <w:rsid w:val="003B7A1D"/>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E7D2D"/>
    <w:rsid w:val="003E7E87"/>
    <w:rsid w:val="003F00BE"/>
    <w:rsid w:val="003F3802"/>
    <w:rsid w:val="003F3F09"/>
    <w:rsid w:val="003F49DB"/>
    <w:rsid w:val="003F78DF"/>
    <w:rsid w:val="0040042C"/>
    <w:rsid w:val="00401AAA"/>
    <w:rsid w:val="004027DD"/>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43AF"/>
    <w:rsid w:val="004761C2"/>
    <w:rsid w:val="0047657C"/>
    <w:rsid w:val="00476CC4"/>
    <w:rsid w:val="00477700"/>
    <w:rsid w:val="00477E6B"/>
    <w:rsid w:val="00477F43"/>
    <w:rsid w:val="00480578"/>
    <w:rsid w:val="00481CF5"/>
    <w:rsid w:val="00482A26"/>
    <w:rsid w:val="004857F5"/>
    <w:rsid w:val="00487D9E"/>
    <w:rsid w:val="00487E40"/>
    <w:rsid w:val="0049039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54C1"/>
    <w:rsid w:val="004C56A4"/>
    <w:rsid w:val="004C5877"/>
    <w:rsid w:val="004D0D72"/>
    <w:rsid w:val="004D388A"/>
    <w:rsid w:val="004D4BD9"/>
    <w:rsid w:val="004D5CE4"/>
    <w:rsid w:val="004D6D76"/>
    <w:rsid w:val="004D6EA7"/>
    <w:rsid w:val="004E1100"/>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2C0B"/>
    <w:rsid w:val="00514FBD"/>
    <w:rsid w:val="00516768"/>
    <w:rsid w:val="00516E37"/>
    <w:rsid w:val="00520E6A"/>
    <w:rsid w:val="005233D1"/>
    <w:rsid w:val="00523701"/>
    <w:rsid w:val="0052751A"/>
    <w:rsid w:val="005320B4"/>
    <w:rsid w:val="0053490A"/>
    <w:rsid w:val="00537019"/>
    <w:rsid w:val="00540961"/>
    <w:rsid w:val="00540BA5"/>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4E87"/>
    <w:rsid w:val="00575F4F"/>
    <w:rsid w:val="00575F67"/>
    <w:rsid w:val="005765C2"/>
    <w:rsid w:val="00576B28"/>
    <w:rsid w:val="005773FA"/>
    <w:rsid w:val="00577824"/>
    <w:rsid w:val="00577C00"/>
    <w:rsid w:val="00580864"/>
    <w:rsid w:val="005835FB"/>
    <w:rsid w:val="005849E4"/>
    <w:rsid w:val="00584E00"/>
    <w:rsid w:val="005853BD"/>
    <w:rsid w:val="0058578C"/>
    <w:rsid w:val="0058598B"/>
    <w:rsid w:val="005868AC"/>
    <w:rsid w:val="00586D1E"/>
    <w:rsid w:val="00587D81"/>
    <w:rsid w:val="00590982"/>
    <w:rsid w:val="00593F35"/>
    <w:rsid w:val="00596E95"/>
    <w:rsid w:val="0059735A"/>
    <w:rsid w:val="005A0B3B"/>
    <w:rsid w:val="005A0EDD"/>
    <w:rsid w:val="005A2417"/>
    <w:rsid w:val="005A3220"/>
    <w:rsid w:val="005A3AD6"/>
    <w:rsid w:val="005A4CD0"/>
    <w:rsid w:val="005A4FC3"/>
    <w:rsid w:val="005B0793"/>
    <w:rsid w:val="005B30FF"/>
    <w:rsid w:val="005B441B"/>
    <w:rsid w:val="005B5DBE"/>
    <w:rsid w:val="005C226D"/>
    <w:rsid w:val="005C26E4"/>
    <w:rsid w:val="005C2B4B"/>
    <w:rsid w:val="005D035F"/>
    <w:rsid w:val="005D06B7"/>
    <w:rsid w:val="005D397A"/>
    <w:rsid w:val="005D6B7F"/>
    <w:rsid w:val="005D73DB"/>
    <w:rsid w:val="005D7C7B"/>
    <w:rsid w:val="005E0671"/>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2282"/>
    <w:rsid w:val="00602474"/>
    <w:rsid w:val="006053D3"/>
    <w:rsid w:val="00606B19"/>
    <w:rsid w:val="00606F01"/>
    <w:rsid w:val="006079B8"/>
    <w:rsid w:val="006079CB"/>
    <w:rsid w:val="00610404"/>
    <w:rsid w:val="00610A31"/>
    <w:rsid w:val="00612A40"/>
    <w:rsid w:val="006132AD"/>
    <w:rsid w:val="00613D3C"/>
    <w:rsid w:val="0061595D"/>
    <w:rsid w:val="00615AC5"/>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620"/>
    <w:rsid w:val="00654DFE"/>
    <w:rsid w:val="00655C50"/>
    <w:rsid w:val="00655F7E"/>
    <w:rsid w:val="00657CCE"/>
    <w:rsid w:val="0066242B"/>
    <w:rsid w:val="00663ACA"/>
    <w:rsid w:val="00665298"/>
    <w:rsid w:val="00665DF0"/>
    <w:rsid w:val="006666E4"/>
    <w:rsid w:val="006666F7"/>
    <w:rsid w:val="00666DE5"/>
    <w:rsid w:val="00666E94"/>
    <w:rsid w:val="00666F05"/>
    <w:rsid w:val="00670ABB"/>
    <w:rsid w:val="006730EB"/>
    <w:rsid w:val="006746DE"/>
    <w:rsid w:val="00675090"/>
    <w:rsid w:val="006760F5"/>
    <w:rsid w:val="0068387D"/>
    <w:rsid w:val="00686C7D"/>
    <w:rsid w:val="00687E69"/>
    <w:rsid w:val="006903D4"/>
    <w:rsid w:val="006956AC"/>
    <w:rsid w:val="0069587E"/>
    <w:rsid w:val="00696544"/>
    <w:rsid w:val="006A240C"/>
    <w:rsid w:val="006A42A4"/>
    <w:rsid w:val="006A5777"/>
    <w:rsid w:val="006A7B14"/>
    <w:rsid w:val="006A7B5E"/>
    <w:rsid w:val="006B1F74"/>
    <w:rsid w:val="006B5B27"/>
    <w:rsid w:val="006B6FD0"/>
    <w:rsid w:val="006C28FE"/>
    <w:rsid w:val="006C34D7"/>
    <w:rsid w:val="006C4240"/>
    <w:rsid w:val="006C43F6"/>
    <w:rsid w:val="006D20B6"/>
    <w:rsid w:val="006D39E4"/>
    <w:rsid w:val="006D3A08"/>
    <w:rsid w:val="006D4FD7"/>
    <w:rsid w:val="006D72BA"/>
    <w:rsid w:val="006E2A2F"/>
    <w:rsid w:val="006E4605"/>
    <w:rsid w:val="006E626A"/>
    <w:rsid w:val="006E6696"/>
    <w:rsid w:val="006E6E22"/>
    <w:rsid w:val="006F2557"/>
    <w:rsid w:val="006F690C"/>
    <w:rsid w:val="006F6AB9"/>
    <w:rsid w:val="006F6FD7"/>
    <w:rsid w:val="006F779F"/>
    <w:rsid w:val="0070187B"/>
    <w:rsid w:val="0070253C"/>
    <w:rsid w:val="00702D66"/>
    <w:rsid w:val="00703267"/>
    <w:rsid w:val="007058A2"/>
    <w:rsid w:val="0071135F"/>
    <w:rsid w:val="00716262"/>
    <w:rsid w:val="00716F1B"/>
    <w:rsid w:val="0072174E"/>
    <w:rsid w:val="00722B19"/>
    <w:rsid w:val="007325D8"/>
    <w:rsid w:val="00733B05"/>
    <w:rsid w:val="00736952"/>
    <w:rsid w:val="00737E6D"/>
    <w:rsid w:val="00741E6B"/>
    <w:rsid w:val="0074297C"/>
    <w:rsid w:val="00745705"/>
    <w:rsid w:val="00746DC1"/>
    <w:rsid w:val="007473E0"/>
    <w:rsid w:val="007474F6"/>
    <w:rsid w:val="00747B90"/>
    <w:rsid w:val="00747F45"/>
    <w:rsid w:val="00750BD3"/>
    <w:rsid w:val="00751FA8"/>
    <w:rsid w:val="00753A76"/>
    <w:rsid w:val="007549C4"/>
    <w:rsid w:val="007560AF"/>
    <w:rsid w:val="007564AB"/>
    <w:rsid w:val="007627CD"/>
    <w:rsid w:val="00762B4B"/>
    <w:rsid w:val="0076573A"/>
    <w:rsid w:val="00765E98"/>
    <w:rsid w:val="00766F8D"/>
    <w:rsid w:val="00767212"/>
    <w:rsid w:val="00767763"/>
    <w:rsid w:val="00767BDF"/>
    <w:rsid w:val="0077240B"/>
    <w:rsid w:val="00773A41"/>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7B"/>
    <w:rsid w:val="007B3CDD"/>
    <w:rsid w:val="007B4BA1"/>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7E2"/>
    <w:rsid w:val="007E3993"/>
    <w:rsid w:val="007E3E9A"/>
    <w:rsid w:val="007E7343"/>
    <w:rsid w:val="007F6F8C"/>
    <w:rsid w:val="007F71CA"/>
    <w:rsid w:val="007F76A3"/>
    <w:rsid w:val="0080176B"/>
    <w:rsid w:val="008021B1"/>
    <w:rsid w:val="00805A6B"/>
    <w:rsid w:val="00807BDD"/>
    <w:rsid w:val="00811EA4"/>
    <w:rsid w:val="00812CF9"/>
    <w:rsid w:val="00813130"/>
    <w:rsid w:val="0081691B"/>
    <w:rsid w:val="00816BB1"/>
    <w:rsid w:val="00820034"/>
    <w:rsid w:val="008204D8"/>
    <w:rsid w:val="00821788"/>
    <w:rsid w:val="00821F5A"/>
    <w:rsid w:val="00825081"/>
    <w:rsid w:val="008255CE"/>
    <w:rsid w:val="00826AF8"/>
    <w:rsid w:val="008272C3"/>
    <w:rsid w:val="00831BF2"/>
    <w:rsid w:val="00833759"/>
    <w:rsid w:val="00833EE4"/>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3162"/>
    <w:rsid w:val="008954C2"/>
    <w:rsid w:val="008961AE"/>
    <w:rsid w:val="008A54F5"/>
    <w:rsid w:val="008A61AA"/>
    <w:rsid w:val="008A7AF1"/>
    <w:rsid w:val="008B12DA"/>
    <w:rsid w:val="008B3ADB"/>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94"/>
    <w:rsid w:val="008F52E9"/>
    <w:rsid w:val="008F7D7F"/>
    <w:rsid w:val="00900270"/>
    <w:rsid w:val="00900F86"/>
    <w:rsid w:val="00901D52"/>
    <w:rsid w:val="00905613"/>
    <w:rsid w:val="00906E61"/>
    <w:rsid w:val="00910C09"/>
    <w:rsid w:val="0092194A"/>
    <w:rsid w:val="00922CBB"/>
    <w:rsid w:val="00922D2E"/>
    <w:rsid w:val="009231A3"/>
    <w:rsid w:val="00923A09"/>
    <w:rsid w:val="00924613"/>
    <w:rsid w:val="009253AC"/>
    <w:rsid w:val="0092676D"/>
    <w:rsid w:val="0092789F"/>
    <w:rsid w:val="009278D4"/>
    <w:rsid w:val="00930BF1"/>
    <w:rsid w:val="00933529"/>
    <w:rsid w:val="00935F77"/>
    <w:rsid w:val="009367A0"/>
    <w:rsid w:val="00937A42"/>
    <w:rsid w:val="0094207E"/>
    <w:rsid w:val="009433B8"/>
    <w:rsid w:val="00943425"/>
    <w:rsid w:val="00943509"/>
    <w:rsid w:val="00943F70"/>
    <w:rsid w:val="00945A8A"/>
    <w:rsid w:val="00950AE1"/>
    <w:rsid w:val="0095139C"/>
    <w:rsid w:val="00952C22"/>
    <w:rsid w:val="00953DCD"/>
    <w:rsid w:val="00954BA5"/>
    <w:rsid w:val="009558F8"/>
    <w:rsid w:val="00955D15"/>
    <w:rsid w:val="00960753"/>
    <w:rsid w:val="00962B33"/>
    <w:rsid w:val="0096427A"/>
    <w:rsid w:val="00965D36"/>
    <w:rsid w:val="0096766F"/>
    <w:rsid w:val="00967DC9"/>
    <w:rsid w:val="00971400"/>
    <w:rsid w:val="00973324"/>
    <w:rsid w:val="00975D43"/>
    <w:rsid w:val="00982B8F"/>
    <w:rsid w:val="009865E7"/>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C7E4C"/>
    <w:rsid w:val="009D1675"/>
    <w:rsid w:val="009D2F77"/>
    <w:rsid w:val="009D34AD"/>
    <w:rsid w:val="009D3918"/>
    <w:rsid w:val="009D7E3A"/>
    <w:rsid w:val="009E0B5B"/>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34DC"/>
    <w:rsid w:val="00A244C9"/>
    <w:rsid w:val="00A24774"/>
    <w:rsid w:val="00A27B8F"/>
    <w:rsid w:val="00A30EC7"/>
    <w:rsid w:val="00A33634"/>
    <w:rsid w:val="00A367F3"/>
    <w:rsid w:val="00A371F3"/>
    <w:rsid w:val="00A37CA1"/>
    <w:rsid w:val="00A408B9"/>
    <w:rsid w:val="00A40EDF"/>
    <w:rsid w:val="00A4105F"/>
    <w:rsid w:val="00A4200D"/>
    <w:rsid w:val="00A42A38"/>
    <w:rsid w:val="00A45D55"/>
    <w:rsid w:val="00A46410"/>
    <w:rsid w:val="00A46573"/>
    <w:rsid w:val="00A47A49"/>
    <w:rsid w:val="00A5003D"/>
    <w:rsid w:val="00A51C67"/>
    <w:rsid w:val="00A51D25"/>
    <w:rsid w:val="00A523C2"/>
    <w:rsid w:val="00A54739"/>
    <w:rsid w:val="00A60879"/>
    <w:rsid w:val="00A60D56"/>
    <w:rsid w:val="00A614FF"/>
    <w:rsid w:val="00A61A32"/>
    <w:rsid w:val="00A632CB"/>
    <w:rsid w:val="00A649A3"/>
    <w:rsid w:val="00A66CD7"/>
    <w:rsid w:val="00A67267"/>
    <w:rsid w:val="00A67B92"/>
    <w:rsid w:val="00A750D1"/>
    <w:rsid w:val="00A7530F"/>
    <w:rsid w:val="00A76C28"/>
    <w:rsid w:val="00A77F7B"/>
    <w:rsid w:val="00A810CD"/>
    <w:rsid w:val="00A8233C"/>
    <w:rsid w:val="00A8234A"/>
    <w:rsid w:val="00A825D6"/>
    <w:rsid w:val="00A82AD9"/>
    <w:rsid w:val="00A82DDA"/>
    <w:rsid w:val="00A83A0E"/>
    <w:rsid w:val="00A842B9"/>
    <w:rsid w:val="00A84B3E"/>
    <w:rsid w:val="00A85439"/>
    <w:rsid w:val="00A8651F"/>
    <w:rsid w:val="00A92259"/>
    <w:rsid w:val="00A922BB"/>
    <w:rsid w:val="00A9612B"/>
    <w:rsid w:val="00AA1302"/>
    <w:rsid w:val="00AA1B52"/>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D78A7"/>
    <w:rsid w:val="00AE0468"/>
    <w:rsid w:val="00AE0A77"/>
    <w:rsid w:val="00AE0AB9"/>
    <w:rsid w:val="00AE1E31"/>
    <w:rsid w:val="00AE2A1F"/>
    <w:rsid w:val="00AE3463"/>
    <w:rsid w:val="00AE4A4A"/>
    <w:rsid w:val="00AE5FDA"/>
    <w:rsid w:val="00AE7482"/>
    <w:rsid w:val="00AE7E57"/>
    <w:rsid w:val="00AF0042"/>
    <w:rsid w:val="00AF0245"/>
    <w:rsid w:val="00AF3FF7"/>
    <w:rsid w:val="00AF55E7"/>
    <w:rsid w:val="00AF6AE8"/>
    <w:rsid w:val="00AF74C6"/>
    <w:rsid w:val="00AF7D6A"/>
    <w:rsid w:val="00B002A7"/>
    <w:rsid w:val="00B01870"/>
    <w:rsid w:val="00B01A0F"/>
    <w:rsid w:val="00B0387C"/>
    <w:rsid w:val="00B03F00"/>
    <w:rsid w:val="00B04710"/>
    <w:rsid w:val="00B05AE4"/>
    <w:rsid w:val="00B10336"/>
    <w:rsid w:val="00B12C4E"/>
    <w:rsid w:val="00B12C59"/>
    <w:rsid w:val="00B13800"/>
    <w:rsid w:val="00B13B22"/>
    <w:rsid w:val="00B13EAB"/>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4123"/>
    <w:rsid w:val="00B36F66"/>
    <w:rsid w:val="00B431EC"/>
    <w:rsid w:val="00B46DF4"/>
    <w:rsid w:val="00B476EC"/>
    <w:rsid w:val="00B51829"/>
    <w:rsid w:val="00B54E11"/>
    <w:rsid w:val="00B54F7A"/>
    <w:rsid w:val="00B55767"/>
    <w:rsid w:val="00B56459"/>
    <w:rsid w:val="00B567E5"/>
    <w:rsid w:val="00B56862"/>
    <w:rsid w:val="00B56957"/>
    <w:rsid w:val="00B56EAD"/>
    <w:rsid w:val="00B60FE7"/>
    <w:rsid w:val="00B61563"/>
    <w:rsid w:val="00B63301"/>
    <w:rsid w:val="00B656F4"/>
    <w:rsid w:val="00B75E9A"/>
    <w:rsid w:val="00B77427"/>
    <w:rsid w:val="00B80746"/>
    <w:rsid w:val="00B80B83"/>
    <w:rsid w:val="00B828EE"/>
    <w:rsid w:val="00B866BF"/>
    <w:rsid w:val="00B92A6D"/>
    <w:rsid w:val="00B94630"/>
    <w:rsid w:val="00B94719"/>
    <w:rsid w:val="00B94C81"/>
    <w:rsid w:val="00B9552F"/>
    <w:rsid w:val="00B97B1D"/>
    <w:rsid w:val="00BA25A7"/>
    <w:rsid w:val="00BA2AF4"/>
    <w:rsid w:val="00BA368A"/>
    <w:rsid w:val="00BA43AB"/>
    <w:rsid w:val="00BA5EB1"/>
    <w:rsid w:val="00BA64AD"/>
    <w:rsid w:val="00BA797D"/>
    <w:rsid w:val="00BB0E0C"/>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6552"/>
    <w:rsid w:val="00BD7B85"/>
    <w:rsid w:val="00BE227B"/>
    <w:rsid w:val="00BE2CF9"/>
    <w:rsid w:val="00BE2D01"/>
    <w:rsid w:val="00BE5F2A"/>
    <w:rsid w:val="00BE61EE"/>
    <w:rsid w:val="00BF0ECF"/>
    <w:rsid w:val="00BF154B"/>
    <w:rsid w:val="00BF29EC"/>
    <w:rsid w:val="00BF3314"/>
    <w:rsid w:val="00BF3731"/>
    <w:rsid w:val="00BF4503"/>
    <w:rsid w:val="00BF46E7"/>
    <w:rsid w:val="00BF60CA"/>
    <w:rsid w:val="00BF773F"/>
    <w:rsid w:val="00C012F8"/>
    <w:rsid w:val="00C01B37"/>
    <w:rsid w:val="00C01EB2"/>
    <w:rsid w:val="00C028F7"/>
    <w:rsid w:val="00C03C90"/>
    <w:rsid w:val="00C044AC"/>
    <w:rsid w:val="00C04852"/>
    <w:rsid w:val="00C04A28"/>
    <w:rsid w:val="00C076B0"/>
    <w:rsid w:val="00C07948"/>
    <w:rsid w:val="00C07EEE"/>
    <w:rsid w:val="00C1316A"/>
    <w:rsid w:val="00C15407"/>
    <w:rsid w:val="00C155F6"/>
    <w:rsid w:val="00C1648C"/>
    <w:rsid w:val="00C20A95"/>
    <w:rsid w:val="00C2191B"/>
    <w:rsid w:val="00C23FF6"/>
    <w:rsid w:val="00C248F8"/>
    <w:rsid w:val="00C27330"/>
    <w:rsid w:val="00C27706"/>
    <w:rsid w:val="00C2796B"/>
    <w:rsid w:val="00C318D6"/>
    <w:rsid w:val="00C32D4E"/>
    <w:rsid w:val="00C35664"/>
    <w:rsid w:val="00C41C82"/>
    <w:rsid w:val="00C42F15"/>
    <w:rsid w:val="00C4325A"/>
    <w:rsid w:val="00C435FF"/>
    <w:rsid w:val="00C46E51"/>
    <w:rsid w:val="00C47130"/>
    <w:rsid w:val="00C517E9"/>
    <w:rsid w:val="00C523EE"/>
    <w:rsid w:val="00C53CF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2308"/>
    <w:rsid w:val="00C8452F"/>
    <w:rsid w:val="00C8542F"/>
    <w:rsid w:val="00C85C13"/>
    <w:rsid w:val="00C90741"/>
    <w:rsid w:val="00C90D51"/>
    <w:rsid w:val="00C9114D"/>
    <w:rsid w:val="00C93768"/>
    <w:rsid w:val="00C94B27"/>
    <w:rsid w:val="00C9730F"/>
    <w:rsid w:val="00C97B13"/>
    <w:rsid w:val="00CA1E22"/>
    <w:rsid w:val="00CA29F5"/>
    <w:rsid w:val="00CA3409"/>
    <w:rsid w:val="00CA3699"/>
    <w:rsid w:val="00CA4ED6"/>
    <w:rsid w:val="00CA502D"/>
    <w:rsid w:val="00CA607A"/>
    <w:rsid w:val="00CA643D"/>
    <w:rsid w:val="00CA757A"/>
    <w:rsid w:val="00CA78E8"/>
    <w:rsid w:val="00CB11C9"/>
    <w:rsid w:val="00CB1EEF"/>
    <w:rsid w:val="00CB45EC"/>
    <w:rsid w:val="00CB7D2B"/>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6D0F"/>
    <w:rsid w:val="00CE7577"/>
    <w:rsid w:val="00CF177B"/>
    <w:rsid w:val="00CF181F"/>
    <w:rsid w:val="00CF21ED"/>
    <w:rsid w:val="00CF26BA"/>
    <w:rsid w:val="00CF4A90"/>
    <w:rsid w:val="00D00290"/>
    <w:rsid w:val="00D025B7"/>
    <w:rsid w:val="00D026E9"/>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77B6"/>
    <w:rsid w:val="00D41F46"/>
    <w:rsid w:val="00D4375C"/>
    <w:rsid w:val="00D44F44"/>
    <w:rsid w:val="00D463BC"/>
    <w:rsid w:val="00D46F58"/>
    <w:rsid w:val="00D478B4"/>
    <w:rsid w:val="00D50280"/>
    <w:rsid w:val="00D53705"/>
    <w:rsid w:val="00D53C08"/>
    <w:rsid w:val="00D54B31"/>
    <w:rsid w:val="00D55C05"/>
    <w:rsid w:val="00D55F59"/>
    <w:rsid w:val="00D64B92"/>
    <w:rsid w:val="00D67197"/>
    <w:rsid w:val="00D67B9E"/>
    <w:rsid w:val="00D7178C"/>
    <w:rsid w:val="00D71C75"/>
    <w:rsid w:val="00D71D30"/>
    <w:rsid w:val="00D73B5E"/>
    <w:rsid w:val="00D73C25"/>
    <w:rsid w:val="00D74578"/>
    <w:rsid w:val="00D764E9"/>
    <w:rsid w:val="00D80B0E"/>
    <w:rsid w:val="00D83004"/>
    <w:rsid w:val="00D83AF2"/>
    <w:rsid w:val="00D841C5"/>
    <w:rsid w:val="00D85F24"/>
    <w:rsid w:val="00D879ED"/>
    <w:rsid w:val="00D87C56"/>
    <w:rsid w:val="00D908CB"/>
    <w:rsid w:val="00D91AD2"/>
    <w:rsid w:val="00D9322E"/>
    <w:rsid w:val="00D936AA"/>
    <w:rsid w:val="00D9371E"/>
    <w:rsid w:val="00D94836"/>
    <w:rsid w:val="00D97681"/>
    <w:rsid w:val="00DA1B88"/>
    <w:rsid w:val="00DA41AC"/>
    <w:rsid w:val="00DA45EF"/>
    <w:rsid w:val="00DA760C"/>
    <w:rsid w:val="00DB1184"/>
    <w:rsid w:val="00DB53DB"/>
    <w:rsid w:val="00DB5456"/>
    <w:rsid w:val="00DB59C3"/>
    <w:rsid w:val="00DB6275"/>
    <w:rsid w:val="00DB6514"/>
    <w:rsid w:val="00DB6563"/>
    <w:rsid w:val="00DB7333"/>
    <w:rsid w:val="00DB7E99"/>
    <w:rsid w:val="00DC0346"/>
    <w:rsid w:val="00DC1102"/>
    <w:rsid w:val="00DC1103"/>
    <w:rsid w:val="00DC4B9C"/>
    <w:rsid w:val="00DC4C4A"/>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075"/>
    <w:rsid w:val="00DE4C60"/>
    <w:rsid w:val="00DE5104"/>
    <w:rsid w:val="00DF0150"/>
    <w:rsid w:val="00DF2B4F"/>
    <w:rsid w:val="00DF2BBC"/>
    <w:rsid w:val="00DF5339"/>
    <w:rsid w:val="00DF5581"/>
    <w:rsid w:val="00DF629B"/>
    <w:rsid w:val="00DF6437"/>
    <w:rsid w:val="00DF784B"/>
    <w:rsid w:val="00E007A6"/>
    <w:rsid w:val="00E01174"/>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0B7C"/>
    <w:rsid w:val="00E21A8F"/>
    <w:rsid w:val="00E227A1"/>
    <w:rsid w:val="00E23F43"/>
    <w:rsid w:val="00E249FF"/>
    <w:rsid w:val="00E26956"/>
    <w:rsid w:val="00E26F84"/>
    <w:rsid w:val="00E26FE4"/>
    <w:rsid w:val="00E31B4D"/>
    <w:rsid w:val="00E32A9C"/>
    <w:rsid w:val="00E34CD2"/>
    <w:rsid w:val="00E35F5A"/>
    <w:rsid w:val="00E40A73"/>
    <w:rsid w:val="00E4142F"/>
    <w:rsid w:val="00E42BFF"/>
    <w:rsid w:val="00E4483B"/>
    <w:rsid w:val="00E45A33"/>
    <w:rsid w:val="00E518F5"/>
    <w:rsid w:val="00E540BD"/>
    <w:rsid w:val="00E54A28"/>
    <w:rsid w:val="00E54CF9"/>
    <w:rsid w:val="00E55D2D"/>
    <w:rsid w:val="00E573CA"/>
    <w:rsid w:val="00E60155"/>
    <w:rsid w:val="00E6163B"/>
    <w:rsid w:val="00E61BA6"/>
    <w:rsid w:val="00E61E59"/>
    <w:rsid w:val="00E622AD"/>
    <w:rsid w:val="00E62853"/>
    <w:rsid w:val="00E63D9D"/>
    <w:rsid w:val="00E64B84"/>
    <w:rsid w:val="00E67DE9"/>
    <w:rsid w:val="00E70A11"/>
    <w:rsid w:val="00E71383"/>
    <w:rsid w:val="00E74FBA"/>
    <w:rsid w:val="00E7526C"/>
    <w:rsid w:val="00E75287"/>
    <w:rsid w:val="00E75C39"/>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69F0"/>
    <w:rsid w:val="00EC7BC4"/>
    <w:rsid w:val="00ED0F0D"/>
    <w:rsid w:val="00ED17AC"/>
    <w:rsid w:val="00ED22EF"/>
    <w:rsid w:val="00ED2F19"/>
    <w:rsid w:val="00ED46CC"/>
    <w:rsid w:val="00ED4A83"/>
    <w:rsid w:val="00ED540F"/>
    <w:rsid w:val="00EE492E"/>
    <w:rsid w:val="00EE6164"/>
    <w:rsid w:val="00EE6A36"/>
    <w:rsid w:val="00EF1DBB"/>
    <w:rsid w:val="00EF231D"/>
    <w:rsid w:val="00EF46A9"/>
    <w:rsid w:val="00EF4C47"/>
    <w:rsid w:val="00F008E6"/>
    <w:rsid w:val="00F00D86"/>
    <w:rsid w:val="00F00ED3"/>
    <w:rsid w:val="00F0348F"/>
    <w:rsid w:val="00F074C8"/>
    <w:rsid w:val="00F14CB9"/>
    <w:rsid w:val="00F15507"/>
    <w:rsid w:val="00F175CC"/>
    <w:rsid w:val="00F2109F"/>
    <w:rsid w:val="00F21F05"/>
    <w:rsid w:val="00F224DE"/>
    <w:rsid w:val="00F24FC8"/>
    <w:rsid w:val="00F250FC"/>
    <w:rsid w:val="00F26BF5"/>
    <w:rsid w:val="00F32A60"/>
    <w:rsid w:val="00F35DED"/>
    <w:rsid w:val="00F42322"/>
    <w:rsid w:val="00F43DB2"/>
    <w:rsid w:val="00F4452D"/>
    <w:rsid w:val="00F50BD8"/>
    <w:rsid w:val="00F52DCE"/>
    <w:rsid w:val="00F53404"/>
    <w:rsid w:val="00F550C4"/>
    <w:rsid w:val="00F558CC"/>
    <w:rsid w:val="00F56D71"/>
    <w:rsid w:val="00F56D85"/>
    <w:rsid w:val="00F57094"/>
    <w:rsid w:val="00F61130"/>
    <w:rsid w:val="00F61673"/>
    <w:rsid w:val="00F63BE4"/>
    <w:rsid w:val="00F63E1C"/>
    <w:rsid w:val="00F64E9E"/>
    <w:rsid w:val="00F677B3"/>
    <w:rsid w:val="00F67A93"/>
    <w:rsid w:val="00F71B6B"/>
    <w:rsid w:val="00F721C2"/>
    <w:rsid w:val="00F72A7D"/>
    <w:rsid w:val="00F73DDB"/>
    <w:rsid w:val="00F749DB"/>
    <w:rsid w:val="00F750E3"/>
    <w:rsid w:val="00F75ED9"/>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211"/>
    <w:rsid w:val="00FC6596"/>
    <w:rsid w:val="00FC748F"/>
    <w:rsid w:val="00FD3D88"/>
    <w:rsid w:val="00FD3F7E"/>
    <w:rsid w:val="00FD6ECA"/>
    <w:rsid w:val="00FD7AD5"/>
    <w:rsid w:val="00FD7D9C"/>
    <w:rsid w:val="00FE2C34"/>
    <w:rsid w:val="00FE59E3"/>
    <w:rsid w:val="00FF0D9E"/>
    <w:rsid w:val="00FF3104"/>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e7e7e7"/>
    </o:shapedefaults>
    <o:shapelayout v:ext="edit">
      <o:idmap v:ext="edit" data="1"/>
    </o:shapelayout>
  </w:shapeDefaults>
  <w:decimalSymbol w:val="."/>
  <w:listSeparator w:val=","/>
  <w14:docId w14:val="0624D196"/>
  <w15:docId w15:val="{ADFABE24-D7AE-44B2-A60B-F50CCA0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D73DB"/>
    <w:pPr>
      <w:keepNext/>
      <w:numPr>
        <w:ilvl w:val="1"/>
        <w:numId w:val="6"/>
      </w:numPr>
      <w:spacing w:before="60" w:after="120"/>
      <w:ind w:left="431" w:hanging="431"/>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960" w:hanging="960"/>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qFormat/>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5D73D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uiPriority w:val="59"/>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basedOn w:val="DefaultParagraphFont"/>
    <w:link w:val="ListParagraph"/>
    <w:uiPriority w:val="34"/>
    <w:rsid w:val="00C90741"/>
    <w:rPr>
      <w:rFonts w:ascii="Arial" w:hAnsi="Arial"/>
      <w:color w:val="0F0F0F" w:themeColor="text1"/>
      <w:sz w:val="24"/>
      <w:szCs w:val="24"/>
      <w:lang w:eastAsia="en-US"/>
    </w:rPr>
  </w:style>
  <w:style w:type="paragraph" w:customStyle="1" w:styleId="StyleLeft165cm">
    <w:name w:val="Style Left:  1.65 cm"/>
    <w:basedOn w:val="Normal"/>
    <w:rsid w:val="00577824"/>
    <w:pPr>
      <w:spacing w:after="120"/>
      <w:textboxTightWrap w:val="none"/>
    </w:pPr>
    <w:rPr>
      <w:color w:val="auto"/>
      <w:szCs w:val="20"/>
    </w:rPr>
  </w:style>
  <w:style w:type="paragraph" w:customStyle="1" w:styleId="Appendix1">
    <w:name w:val="Appendix 1"/>
    <w:basedOn w:val="Heading1"/>
    <w:link w:val="Appendix1Char"/>
    <w:qFormat/>
    <w:rsid w:val="00BA2AF4"/>
    <w:pPr>
      <w:numPr>
        <w:numId w:val="0"/>
      </w:numPr>
    </w:pPr>
  </w:style>
  <w:style w:type="character" w:customStyle="1" w:styleId="Appendix1Char">
    <w:name w:val="Appendix 1 Char"/>
    <w:basedOn w:val="Heading1Char"/>
    <w:link w:val="Appendix1"/>
    <w:rsid w:val="00BA2AF4"/>
    <w:rPr>
      <w:rFonts w:ascii="Arial" w:hAnsi="Arial" w:cs="Arial"/>
      <w:b/>
      <w:bCs/>
      <w:color w:val="005EB8" w:themeColor="accent1"/>
      <w:spacing w:val="-14"/>
      <w:kern w:val="28"/>
      <w:sz w:val="42"/>
      <w:szCs w:val="3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41253588">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n.wikipedia.org/wiki/Medical_term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nhsconnect.github.io/gpconnect/accessrecord_structured_development_retrieve_patient_record.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BEA0C724142938A4B8AD649B94369"/>
        <w:category>
          <w:name w:val="General"/>
          <w:gallery w:val="placeholder"/>
        </w:category>
        <w:types>
          <w:type w:val="bbPlcHdr"/>
        </w:types>
        <w:behaviors>
          <w:behavior w:val="content"/>
        </w:behaviors>
        <w:guid w:val="{7361F255-A0B0-498B-B539-9CB95100883A}"/>
      </w:docPartPr>
      <w:docPartBody>
        <w:p w:rsidR="00706E9F" w:rsidRDefault="00706E9F">
          <w:pPr>
            <w:pStyle w:val="9B3BEA0C724142938A4B8AD649B94369"/>
          </w:pPr>
          <w:r w:rsidRPr="00320C3F">
            <w:rPr>
              <w:rStyle w:val="PlaceholderText"/>
              <w:b/>
              <w:color w:val="auto"/>
              <w:sz w:val="20"/>
            </w:rPr>
            <w:t>[Status]</w:t>
          </w:r>
        </w:p>
      </w:docPartBody>
    </w:docPart>
    <w:docPart>
      <w:docPartPr>
        <w:name w:val="4D0056345D9B43C8A3C6B134FDFCAD56"/>
        <w:category>
          <w:name w:val="General"/>
          <w:gallery w:val="placeholder"/>
        </w:category>
        <w:types>
          <w:type w:val="bbPlcHdr"/>
        </w:types>
        <w:behaviors>
          <w:behavior w:val="content"/>
        </w:behaviors>
        <w:guid w:val="{0D31D7F2-4ACD-4F2A-879E-1914115D1BDA}"/>
      </w:docPartPr>
      <w:docPartBody>
        <w:p w:rsidR="00706E9F" w:rsidRDefault="00706E9F">
          <w:pPr>
            <w:pStyle w:val="4D0056345D9B43C8A3C6B134FDFCAD56"/>
          </w:pPr>
          <w:r w:rsidRPr="009A450D">
            <w:rPr>
              <w:rStyle w:val="PlaceholderText"/>
              <w:b/>
              <w:color w:val="44546A" w:themeColor="text2"/>
              <w:sz w:val="20"/>
              <w:szCs w:val="20"/>
            </w:rPr>
            <w:t>0.1</w:t>
          </w:r>
        </w:p>
      </w:docPartBody>
    </w:docPart>
    <w:docPart>
      <w:docPartPr>
        <w:name w:val="D315FF9B977E474A8E8436B4AF8E400D"/>
        <w:category>
          <w:name w:val="General"/>
          <w:gallery w:val="placeholder"/>
        </w:category>
        <w:types>
          <w:type w:val="bbPlcHdr"/>
        </w:types>
        <w:behaviors>
          <w:behavior w:val="content"/>
        </w:behaviors>
        <w:guid w:val="{3E815A73-A622-4932-84C4-53090FB08998}"/>
      </w:docPartPr>
      <w:docPartBody>
        <w:p w:rsidR="00706E9F" w:rsidRDefault="00706E9F">
          <w:pPr>
            <w:pStyle w:val="D315FF9B977E474A8E8436B4AF8E400D"/>
          </w:pPr>
          <w:r w:rsidRPr="00320C3F">
            <w:rPr>
              <w:rStyle w:val="PlaceholderText"/>
              <w:b/>
              <w:color w:val="auto"/>
              <w:sz w:val="20"/>
              <w:szCs w:val="20"/>
            </w:rPr>
            <w:t>[Publish Date]</w:t>
          </w:r>
        </w:p>
      </w:docPartBody>
    </w:docPart>
    <w:docPart>
      <w:docPartPr>
        <w:name w:val="F9565CC7EF89443C8FE48AEC43A4992C"/>
        <w:category>
          <w:name w:val="General"/>
          <w:gallery w:val="placeholder"/>
        </w:category>
        <w:types>
          <w:type w:val="bbPlcHdr"/>
        </w:types>
        <w:behaviors>
          <w:behavior w:val="content"/>
        </w:behaviors>
        <w:guid w:val="{1C0A9197-DA9B-448E-9311-34FD375533A9}"/>
      </w:docPartPr>
      <w:docPartBody>
        <w:p w:rsidR="00706E9F" w:rsidRDefault="00706E9F">
          <w:pPr>
            <w:pStyle w:val="F9565CC7EF89443C8FE48AEC43A4992C"/>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E9F"/>
    <w:rsid w:val="001C6924"/>
    <w:rsid w:val="00257DF1"/>
    <w:rsid w:val="002E0C57"/>
    <w:rsid w:val="00691FF2"/>
    <w:rsid w:val="00706E9F"/>
    <w:rsid w:val="0077217B"/>
    <w:rsid w:val="007C25F6"/>
    <w:rsid w:val="00936180"/>
    <w:rsid w:val="00DA34E2"/>
    <w:rsid w:val="00E0391D"/>
    <w:rsid w:val="00EE6134"/>
    <w:rsid w:val="00FB5C6F"/>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2018-10-09T00:00:00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2017-11-22T11:37:54+00:00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documentManagement>
</p:properties>
</file>

<file path=customXml/item3.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 ds:uri="5668c8bc-6c30-45e9-80ca-5109d4270dfd"/>
    <ds:schemaRef ds:uri="http://schemas.microsoft.com/sharepoint/v3"/>
  </ds:schemaRefs>
</ds:datastoreItem>
</file>

<file path=customXml/itemProps3.xml><?xml version="1.0" encoding="utf-8"?>
<ds:datastoreItem xmlns:ds="http://schemas.openxmlformats.org/officeDocument/2006/customXml" ds:itemID="{9C3DBEA7-A116-4A83-BCEE-3AEB3F511689}">
  <ds:schemaRefs>
    <ds:schemaRef ds:uri="office.server.policy"/>
  </ds:schemaRefs>
</ds:datastoreItem>
</file>

<file path=customXml/itemProps4.xml><?xml version="1.0" encoding="utf-8"?>
<ds:datastoreItem xmlns:ds="http://schemas.openxmlformats.org/officeDocument/2006/customXml" ds:itemID="{C1CB226D-F713-497C-968B-CED972E124E3}">
  <ds:schemaRefs>
    <ds:schemaRef ds:uri="http://schemas.microsoft.com/sharepoint/events"/>
  </ds:schemaRefs>
</ds:datastoreItem>
</file>

<file path=customXml/itemProps5.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6.xml><?xml version="1.0" encoding="utf-8"?>
<ds:datastoreItem xmlns:ds="http://schemas.openxmlformats.org/officeDocument/2006/customXml" ds:itemID="{3218A02E-9551-4AA7-962A-4FE0919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9CC5384-FFE5-4673-B7A1-4BC661F1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GPSoC Allergy Archetype -GP Connect allergy Guidance</vt:lpstr>
    </vt:vector>
  </TitlesOfParts>
  <Company>Health &amp; Social Care Information Centre</Company>
  <LinksUpToDate>false</LinksUpToDate>
  <CharactersWithSpaces>21850</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GPSoC Allergy Archetype -GP Connect allergy Guidance</dc:title>
  <dc:creator>Michael Hitchins</dc:creator>
  <cp:lastModifiedBy>Peter Salisbury</cp:lastModifiedBy>
  <cp:revision>2</cp:revision>
  <cp:lastPrinted>2018-09-28T11:24:00Z</cp:lastPrinted>
  <dcterms:created xsi:type="dcterms:W3CDTF">2018-10-09T11:20:00Z</dcterms:created>
  <dcterms:modified xsi:type="dcterms:W3CDTF">2018-10-09T11:20:00Z</dcterms:modified>
  <cp:category>1</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