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64B1"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5379604A" w14:textId="77777777" w:rsidTr="00284979">
        <w:tc>
          <w:tcPr>
            <w:tcW w:w="2660" w:type="dxa"/>
            <w:vAlign w:val="center"/>
          </w:tcPr>
          <w:p w14:paraId="2C73AC80"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6CAD67F0" w14:textId="414CB70C" w:rsidR="004027DD" w:rsidRPr="004027DD" w:rsidRDefault="005773FA" w:rsidP="00FB1E3A">
            <w:pPr>
              <w:rPr>
                <w:b/>
                <w:sz w:val="20"/>
                <w:szCs w:val="20"/>
              </w:rPr>
            </w:pPr>
            <w:r>
              <w:rPr>
                <w:b/>
                <w:sz w:val="20"/>
                <w:szCs w:val="20"/>
              </w:rPr>
              <w:t xml:space="preserve">AA1 </w:t>
            </w:r>
            <w:proofErr w:type="spellStart"/>
            <w:r w:rsidR="00255498" w:rsidRPr="00255498">
              <w:rPr>
                <w:b/>
                <w:sz w:val="20"/>
                <w:szCs w:val="20"/>
              </w:rPr>
              <w:t>GPSoC</w:t>
            </w:r>
            <w:proofErr w:type="spellEnd"/>
            <w:r w:rsidR="00255498" w:rsidRPr="00255498">
              <w:rPr>
                <w:b/>
                <w:sz w:val="20"/>
                <w:szCs w:val="20"/>
              </w:rPr>
              <w:t xml:space="preserve"> Allergy Archetype Implementation Guidance</w:t>
            </w:r>
          </w:p>
        </w:tc>
      </w:tr>
      <w:tr w:rsidR="00284979" w:rsidRPr="004027DD" w14:paraId="04F3D55B" w14:textId="77777777" w:rsidTr="00134787">
        <w:tc>
          <w:tcPr>
            <w:tcW w:w="2660" w:type="dxa"/>
            <w:vAlign w:val="center"/>
          </w:tcPr>
          <w:p w14:paraId="726FEBB1"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4AB1EC52" w14:textId="6C2EFFDA" w:rsidR="004027DD" w:rsidRPr="004027DD" w:rsidRDefault="001D084B" w:rsidP="004027DD">
            <w:pPr>
              <w:rPr>
                <w:b/>
                <w:sz w:val="20"/>
                <w:szCs w:val="20"/>
              </w:rPr>
            </w:pPr>
            <w:r>
              <w:rPr>
                <w:b/>
                <w:sz w:val="20"/>
                <w:szCs w:val="20"/>
              </w:rPr>
              <w:t>GP Connect</w:t>
            </w:r>
          </w:p>
        </w:tc>
        <w:tc>
          <w:tcPr>
            <w:tcW w:w="1984" w:type="dxa"/>
            <w:tcBorders>
              <w:left w:val="single" w:sz="4" w:space="0" w:color="8494A3" w:themeColor="accent6" w:themeTint="99"/>
            </w:tcBorders>
            <w:vAlign w:val="center"/>
          </w:tcPr>
          <w:p w14:paraId="26C3EBEB" w14:textId="77777777" w:rsidR="004027DD" w:rsidRPr="004027DD" w:rsidRDefault="004027DD" w:rsidP="004027DD">
            <w:pPr>
              <w:rPr>
                <w:sz w:val="20"/>
                <w:szCs w:val="20"/>
              </w:rPr>
            </w:pPr>
            <w:r w:rsidRPr="004027DD">
              <w:rPr>
                <w:sz w:val="20"/>
                <w:szCs w:val="20"/>
              </w:rPr>
              <w:t>Project</w:t>
            </w:r>
          </w:p>
        </w:tc>
        <w:tc>
          <w:tcPr>
            <w:tcW w:w="1892" w:type="dxa"/>
            <w:vAlign w:val="center"/>
          </w:tcPr>
          <w:p w14:paraId="453E5FF3" w14:textId="14B267E2" w:rsidR="004027DD" w:rsidRPr="004027DD" w:rsidRDefault="00540BA5" w:rsidP="004027DD">
            <w:pPr>
              <w:rPr>
                <w:b/>
                <w:sz w:val="20"/>
                <w:szCs w:val="20"/>
              </w:rPr>
            </w:pPr>
            <w:r>
              <w:rPr>
                <w:b/>
                <w:sz w:val="20"/>
                <w:szCs w:val="20"/>
              </w:rPr>
              <w:t xml:space="preserve">Access </w:t>
            </w:r>
            <w:r w:rsidR="00071C43">
              <w:rPr>
                <w:b/>
                <w:sz w:val="20"/>
                <w:szCs w:val="20"/>
              </w:rPr>
              <w:t>Record Structured</w:t>
            </w:r>
          </w:p>
        </w:tc>
      </w:tr>
      <w:tr w:rsidR="004027DD" w:rsidRPr="004027DD" w14:paraId="5ADD15B6" w14:textId="77777777" w:rsidTr="00284979">
        <w:tc>
          <w:tcPr>
            <w:tcW w:w="2660" w:type="dxa"/>
            <w:vAlign w:val="center"/>
          </w:tcPr>
          <w:p w14:paraId="194CC300"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30E1A0A8" w14:textId="374A1786" w:rsidR="004027DD" w:rsidRPr="004027DD" w:rsidRDefault="0029141D" w:rsidP="004027DD">
            <w:pPr>
              <w:rPr>
                <w:b/>
                <w:sz w:val="20"/>
                <w:szCs w:val="20"/>
              </w:rPr>
            </w:pPr>
            <w:r>
              <w:rPr>
                <w:b/>
                <w:sz w:val="20"/>
                <w:szCs w:val="20"/>
              </w:rPr>
              <w:t>AA1</w:t>
            </w:r>
          </w:p>
        </w:tc>
      </w:tr>
      <w:tr w:rsidR="00284979" w:rsidRPr="004027DD" w14:paraId="2BBCDC08" w14:textId="77777777" w:rsidTr="00134787">
        <w:tc>
          <w:tcPr>
            <w:tcW w:w="2660" w:type="dxa"/>
            <w:vAlign w:val="center"/>
          </w:tcPr>
          <w:p w14:paraId="6E96C84C"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298EFC01" w14:textId="3A19618D" w:rsidR="004027DD" w:rsidRPr="004027DD" w:rsidRDefault="00BB0E0C" w:rsidP="004027DD">
            <w:pPr>
              <w:rPr>
                <w:b/>
                <w:sz w:val="20"/>
                <w:szCs w:val="20"/>
              </w:rPr>
            </w:pPr>
            <w:r>
              <w:rPr>
                <w:b/>
                <w:sz w:val="20"/>
                <w:szCs w:val="20"/>
              </w:rPr>
              <w:t>Simon Fitzgerald</w:t>
            </w:r>
          </w:p>
        </w:tc>
        <w:tc>
          <w:tcPr>
            <w:tcW w:w="1984" w:type="dxa"/>
            <w:tcBorders>
              <w:left w:val="single" w:sz="4" w:space="0" w:color="8494A3" w:themeColor="accent6" w:themeTint="99"/>
            </w:tcBorders>
            <w:vAlign w:val="center"/>
          </w:tcPr>
          <w:p w14:paraId="6D667785"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0F041C42" w14:textId="48AED2DA" w:rsidR="004027DD" w:rsidRPr="00320C3F" w:rsidRDefault="00111B55" w:rsidP="00CE7577">
                <w:pPr>
                  <w:rPr>
                    <w:b/>
                    <w:sz w:val="20"/>
                    <w:szCs w:val="20"/>
                  </w:rPr>
                </w:pPr>
                <w:r>
                  <w:rPr>
                    <w:b/>
                    <w:sz w:val="20"/>
                    <w:szCs w:val="20"/>
                  </w:rPr>
                  <w:t>Final</w:t>
                </w:r>
              </w:p>
            </w:tc>
          </w:sdtContent>
        </w:sdt>
      </w:tr>
      <w:tr w:rsidR="004027DD" w:rsidRPr="004027DD" w14:paraId="0A83D0C9" w14:textId="77777777" w:rsidTr="00134787">
        <w:tc>
          <w:tcPr>
            <w:tcW w:w="2660" w:type="dxa"/>
            <w:vAlign w:val="center"/>
          </w:tcPr>
          <w:p w14:paraId="0751E066"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6B1A5316" w14:textId="7336E6DF" w:rsidR="004027DD" w:rsidRPr="004027DD" w:rsidRDefault="001D084B" w:rsidP="004027DD">
            <w:pPr>
              <w:rPr>
                <w:sz w:val="20"/>
                <w:szCs w:val="20"/>
              </w:rPr>
            </w:pPr>
            <w:r>
              <w:rPr>
                <w:b/>
                <w:sz w:val="20"/>
                <w:szCs w:val="20"/>
              </w:rPr>
              <w:t>Simon Fitzgerald</w:t>
            </w:r>
          </w:p>
        </w:tc>
        <w:tc>
          <w:tcPr>
            <w:tcW w:w="1984" w:type="dxa"/>
            <w:tcBorders>
              <w:left w:val="single" w:sz="4" w:space="0" w:color="8494A3" w:themeColor="accent6" w:themeTint="99"/>
            </w:tcBorders>
            <w:vAlign w:val="center"/>
          </w:tcPr>
          <w:p w14:paraId="6BF26F5F"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EA77D6E" w14:textId="0988F3A5" w:rsidR="004027DD" w:rsidRPr="009A450D" w:rsidRDefault="00111B55" w:rsidP="00CE7577">
                <w:pPr>
                  <w:rPr>
                    <w:b/>
                    <w:sz w:val="20"/>
                    <w:szCs w:val="20"/>
                  </w:rPr>
                </w:pPr>
                <w:r>
                  <w:rPr>
                    <w:b/>
                    <w:sz w:val="20"/>
                    <w:szCs w:val="20"/>
                  </w:rPr>
                  <w:t>1</w:t>
                </w:r>
              </w:p>
            </w:tc>
          </w:sdtContent>
        </w:sdt>
      </w:tr>
      <w:tr w:rsidR="00284979" w:rsidRPr="004027DD" w14:paraId="63ED4839" w14:textId="77777777" w:rsidTr="00134787">
        <w:tc>
          <w:tcPr>
            <w:tcW w:w="2660" w:type="dxa"/>
            <w:vAlign w:val="center"/>
          </w:tcPr>
          <w:p w14:paraId="7DED711A"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1918FA98" w14:textId="5A94F2B1" w:rsidR="004027DD" w:rsidRPr="004027DD" w:rsidRDefault="001B775A" w:rsidP="004027DD">
            <w:pPr>
              <w:rPr>
                <w:sz w:val="20"/>
                <w:szCs w:val="20"/>
              </w:rPr>
            </w:pPr>
            <w:r>
              <w:rPr>
                <w:b/>
                <w:sz w:val="20"/>
                <w:szCs w:val="20"/>
              </w:rPr>
              <w:t>Pete Salisbury</w:t>
            </w:r>
          </w:p>
        </w:tc>
        <w:tc>
          <w:tcPr>
            <w:tcW w:w="1984" w:type="dxa"/>
            <w:tcBorders>
              <w:left w:val="single" w:sz="4" w:space="0" w:color="8494A3" w:themeColor="accent6" w:themeTint="99"/>
            </w:tcBorders>
            <w:vAlign w:val="center"/>
          </w:tcPr>
          <w:p w14:paraId="6E524E57"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tc>
              <w:tcPr>
                <w:tcW w:w="1892" w:type="dxa"/>
                <w:vAlign w:val="center"/>
              </w:tcPr>
              <w:p w14:paraId="6694577D" w14:textId="3C127ECA" w:rsidR="004027DD" w:rsidRPr="00320C3F" w:rsidRDefault="00AD0045" w:rsidP="00502B52">
                <w:pPr>
                  <w:rPr>
                    <w:b/>
                    <w:sz w:val="20"/>
                    <w:szCs w:val="20"/>
                  </w:rPr>
                </w:pPr>
                <w:r>
                  <w:rPr>
                    <w:b/>
                    <w:sz w:val="20"/>
                    <w:szCs w:val="20"/>
                  </w:rPr>
                  <w:t>09</w:t>
                </w:r>
                <w:r w:rsidR="00BF0ECF">
                  <w:rPr>
                    <w:b/>
                    <w:sz w:val="20"/>
                    <w:szCs w:val="20"/>
                  </w:rPr>
                  <w:t>/</w:t>
                </w:r>
                <w:r>
                  <w:rPr>
                    <w:b/>
                    <w:sz w:val="20"/>
                    <w:szCs w:val="20"/>
                  </w:rPr>
                  <w:t>10</w:t>
                </w:r>
                <w:r w:rsidR="00BF0ECF">
                  <w:rPr>
                    <w:b/>
                    <w:sz w:val="20"/>
                    <w:szCs w:val="20"/>
                  </w:rPr>
                  <w:t>/2018</w:t>
                </w:r>
              </w:p>
            </w:tc>
          </w:sdtContent>
        </w:sdt>
      </w:tr>
    </w:tbl>
    <w:p w14:paraId="20F8AF8A" w14:textId="77777777" w:rsidR="00E14002" w:rsidRPr="00B476EC" w:rsidRDefault="00E14002" w:rsidP="00E14002"/>
    <w:p w14:paraId="7F730C22" w14:textId="77777777" w:rsidR="00E14002" w:rsidRPr="00B476EC" w:rsidRDefault="00E14002" w:rsidP="00E14002"/>
    <w:p w14:paraId="7BA56DBB" w14:textId="77777777" w:rsidR="00E14002" w:rsidRPr="00B476EC" w:rsidRDefault="00E14002" w:rsidP="00F53404"/>
    <w:p w14:paraId="146FA908" w14:textId="77777777" w:rsidR="00E14002" w:rsidRPr="00B476EC" w:rsidRDefault="00E14002" w:rsidP="00F53404"/>
    <w:p w14:paraId="1AB44265" w14:textId="6B0641EC"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05EAA0FD" wp14:editId="3B887EAA">
                <wp:simplePos x="0" y="0"/>
                <wp:positionH relativeFrom="page">
                  <wp:posOffset>651510</wp:posOffset>
                </wp:positionH>
                <wp:positionV relativeFrom="page">
                  <wp:posOffset>4438651</wp:posOffset>
                </wp:positionV>
                <wp:extent cx="6361430" cy="1379220"/>
                <wp:effectExtent l="0" t="0" r="0" b="0"/>
                <wp:wrapTight wrapText="bothSides">
                  <wp:wrapPolygon edited="0">
                    <wp:start x="194" y="0"/>
                    <wp:lineTo x="194" y="21182"/>
                    <wp:lineTo x="21346" y="21182"/>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D55C06F" w14:textId="691A5B61" w:rsidR="00615AC5" w:rsidRPr="003B5558" w:rsidRDefault="00C4325A">
                                <w:pPr>
                                  <w:rPr>
                                    <w:b/>
                                  </w:rPr>
                                </w:pPr>
                                <w:proofErr w:type="spellStart"/>
                                <w:r w:rsidRPr="00DB7333">
                                  <w:rPr>
                                    <w:b/>
                                    <w:color w:val="005EB8" w:themeColor="accent1"/>
                                    <w:sz w:val="70"/>
                                    <w:szCs w:val="70"/>
                                  </w:rPr>
                                  <w:t>GPSoC</w:t>
                                </w:r>
                                <w:proofErr w:type="spellEnd"/>
                                <w:r w:rsidRPr="00DB7333">
                                  <w:rPr>
                                    <w:b/>
                                    <w:color w:val="005EB8" w:themeColor="accent1"/>
                                    <w:sz w:val="70"/>
                                    <w:szCs w:val="70"/>
                                  </w:rPr>
                                  <w:t xml:space="preserve"> Allergy Archetype I</w:t>
                                </w:r>
                                <w:r w:rsidR="00127251">
                                  <w:rPr>
                                    <w:b/>
                                    <w:color w:val="005EB8" w:themeColor="accent1"/>
                                    <w:sz w:val="70"/>
                                    <w:szCs w:val="70"/>
                                  </w:rPr>
                                  <w:t>m</w:t>
                                </w:r>
                                <w:r w:rsidRPr="00DB7333">
                                  <w:rPr>
                                    <w:b/>
                                    <w:color w:val="005EB8" w:themeColor="accent1"/>
                                    <w:sz w:val="70"/>
                                    <w:szCs w:val="70"/>
                                  </w:rPr>
                                  <w:t>plementation Guidance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AA0FD" id="_x0000_t202" coordsize="21600,21600" o:spt="202" path="m,l,21600r21600,l21600,xe">
                <v:stroke joinstyle="miter"/>
                <v:path gradientshapeok="t" o:connecttype="rect"/>
              </v:shapetype>
              <v:shape id="Text Box 2" o:spid="_x0000_s1026" type="#_x0000_t202" style="position:absolute;margin-left:51.3pt;margin-top:349.5pt;width:500.9pt;height:10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" filled="f" stroked="f" strokeweight=".5pt">
                <v:textbox>
                  <w:txbxContent>
                    <w:sdt>
                      <w:sdtPr>
                        <w:rPr>
                          <w:b/>
                          <w:color w:val="005EB8" w:themeColor="accent1"/>
                          <w:sz w:val="70"/>
                          <w:szCs w:val="70"/>
                        </w:rPr>
                        <w:alias w:val="Title"/>
                        <w:tag w:val=""/>
                        <w:id w:val="1443801086"/>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 w14:paraId="5D55C06F" w14:textId="691A5B61" w:rsidR="00615AC5" w:rsidRPr="003B5558" w:rsidRDefault="00C4325A">
                          <w:pPr>
                            <w:rPr>
                              <w:b/>
                            </w:rPr>
                          </w:pPr>
                          <w:proofErr w:type="spellStart"/>
                          <w:r w:rsidRPr="00DB7333">
                            <w:rPr>
                              <w:b/>
                              <w:color w:val="005EB8" w:themeColor="accent1"/>
                              <w:sz w:val="70"/>
                              <w:szCs w:val="70"/>
                            </w:rPr>
                            <w:t>GPSoC</w:t>
                          </w:r>
                          <w:proofErr w:type="spellEnd"/>
                          <w:r w:rsidRPr="00DB7333">
                            <w:rPr>
                              <w:b/>
                              <w:color w:val="005EB8" w:themeColor="accent1"/>
                              <w:sz w:val="70"/>
                              <w:szCs w:val="70"/>
                            </w:rPr>
                            <w:t xml:space="preserve"> Allergy Archetype I</w:t>
                          </w:r>
                          <w:r w:rsidR="00127251">
                            <w:rPr>
                              <w:b/>
                              <w:color w:val="005EB8" w:themeColor="accent1"/>
                              <w:sz w:val="70"/>
                              <w:szCs w:val="70"/>
                            </w:rPr>
                            <w:t>m</w:t>
                          </w:r>
                          <w:r w:rsidRPr="00DB7333">
                            <w:rPr>
                              <w:b/>
                              <w:color w:val="005EB8" w:themeColor="accent1"/>
                              <w:sz w:val="70"/>
                              <w:szCs w:val="70"/>
                            </w:rPr>
                            <w:t>plementation Guidance</w:t>
                          </w:r>
                        </w:p>
                      </w:sdtContent>
                    </w:sdt>
                  </w:txbxContent>
                </v:textbox>
                <w10:wrap type="tight" anchorx="page" anchory="page"/>
              </v:shape>
            </w:pict>
          </mc:Fallback>
        </mc:AlternateContent>
      </w:r>
    </w:p>
    <w:p w14:paraId="1063CFCC" w14:textId="77777777" w:rsidR="00E14002" w:rsidRPr="00B476EC" w:rsidRDefault="00E14002" w:rsidP="00F53404"/>
    <w:p w14:paraId="602773F0" w14:textId="77777777" w:rsidR="00E14002" w:rsidRPr="00B476EC" w:rsidRDefault="00E14002" w:rsidP="00F53404"/>
    <w:p w14:paraId="6497AC2E" w14:textId="77777777" w:rsidR="00E14002" w:rsidRPr="00B476EC" w:rsidRDefault="00E14002" w:rsidP="00F53404">
      <w:pPr>
        <w:tabs>
          <w:tab w:val="left" w:pos="2000"/>
        </w:tabs>
      </w:pPr>
    </w:p>
    <w:p w14:paraId="7DD9A687" w14:textId="013503D8" w:rsidR="000B507D" w:rsidRPr="00747F45" w:rsidRDefault="000B507D" w:rsidP="000B507D">
      <w:pPr>
        <w:tabs>
          <w:tab w:val="left" w:pos="142"/>
        </w:tabs>
        <w:rPr>
          <w:b/>
          <w:sz w:val="48"/>
        </w:rPr>
      </w:pPr>
      <w:r>
        <w:rPr>
          <w:b/>
          <w:sz w:val="48"/>
        </w:rPr>
        <w:tab/>
      </w:r>
      <w:r w:rsidRPr="00747F45">
        <w:rPr>
          <w:b/>
          <w:sz w:val="48"/>
        </w:rPr>
        <w:t>Improving allergy interoperability</w:t>
      </w:r>
    </w:p>
    <w:p w14:paraId="21D67FCE" w14:textId="77777777" w:rsidR="000B507D" w:rsidRDefault="000B507D" w:rsidP="000B507D"/>
    <w:p w14:paraId="4B6BB3B3" w14:textId="77777777" w:rsidR="000B507D" w:rsidRDefault="000B507D" w:rsidP="00C4325A"/>
    <w:p w14:paraId="4E6958B7" w14:textId="77777777" w:rsidR="00747F45" w:rsidRPr="00C4325A" w:rsidRDefault="00747F45" w:rsidP="00C4325A"/>
    <w:p w14:paraId="008F2552"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0E977A7B" w14:textId="77777777" w:rsidR="00183E37" w:rsidRPr="00792C12" w:rsidRDefault="00C318D6" w:rsidP="00792C12">
      <w:pPr>
        <w:pStyle w:val="Docmgmtheading"/>
      </w:pPr>
      <w:r>
        <w:lastRenderedPageBreak/>
        <w:t>Document m</w:t>
      </w:r>
      <w:r w:rsidR="00183E37" w:rsidRPr="00792C12">
        <w:t>anagement</w:t>
      </w:r>
    </w:p>
    <w:p w14:paraId="6442834B"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89"/>
        <w:gridCol w:w="1474"/>
        <w:gridCol w:w="5701"/>
      </w:tblGrid>
      <w:tr w:rsidR="006F6FD7" w:rsidRPr="00B476EC" w14:paraId="66FA75E3" w14:textId="77777777" w:rsidTr="00574E87">
        <w:trPr>
          <w:trHeight w:val="290"/>
        </w:trPr>
        <w:tc>
          <w:tcPr>
            <w:tcW w:w="1363" w:type="pct"/>
            <w:tcBorders>
              <w:top w:val="single" w:sz="2" w:space="0" w:color="000000"/>
              <w:bottom w:val="single" w:sz="2" w:space="0" w:color="000000"/>
              <w:right w:val="nil"/>
            </w:tcBorders>
          </w:tcPr>
          <w:p w14:paraId="66B3CBF1"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1AA3D018" w14:textId="77777777" w:rsidR="006F6FD7" w:rsidRPr="00B476EC" w:rsidRDefault="006F6FD7" w:rsidP="001D13B8">
            <w:pPr>
              <w:pStyle w:val="TableHeader"/>
              <w:rPr>
                <w:lang w:val="en-GB"/>
              </w:rPr>
            </w:pPr>
            <w:r w:rsidRPr="00B476EC">
              <w:rPr>
                <w:lang w:val="en-GB"/>
              </w:rPr>
              <w:t>Date</w:t>
            </w:r>
          </w:p>
        </w:tc>
        <w:tc>
          <w:tcPr>
            <w:tcW w:w="2890" w:type="pct"/>
            <w:tcBorders>
              <w:top w:val="single" w:sz="2" w:space="0" w:color="000000"/>
              <w:left w:val="nil"/>
              <w:bottom w:val="single" w:sz="2" w:space="0" w:color="000000"/>
            </w:tcBorders>
          </w:tcPr>
          <w:p w14:paraId="1972DFA5" w14:textId="77777777" w:rsidR="006F6FD7" w:rsidRPr="00B476EC" w:rsidRDefault="006F6FD7" w:rsidP="001D13B8">
            <w:pPr>
              <w:pStyle w:val="TableHeader"/>
              <w:rPr>
                <w:lang w:val="en-GB"/>
              </w:rPr>
            </w:pPr>
            <w:r w:rsidRPr="00B476EC">
              <w:rPr>
                <w:lang w:val="en-GB"/>
              </w:rPr>
              <w:t>Summary of Changes</w:t>
            </w:r>
          </w:p>
        </w:tc>
      </w:tr>
      <w:tr w:rsidR="006F6FD7" w:rsidRPr="00B476EC" w14:paraId="24C28D11" w14:textId="77777777" w:rsidTr="00574E87">
        <w:trPr>
          <w:trHeight w:val="290"/>
        </w:trPr>
        <w:tc>
          <w:tcPr>
            <w:tcW w:w="1363" w:type="pct"/>
            <w:tcBorders>
              <w:top w:val="single" w:sz="2" w:space="0" w:color="000000"/>
              <w:right w:val="nil"/>
            </w:tcBorders>
            <w:vAlign w:val="center"/>
          </w:tcPr>
          <w:p w14:paraId="3189611A" w14:textId="39DA0B85" w:rsidR="006F6FD7" w:rsidRPr="00B476EC" w:rsidRDefault="00EF4C47" w:rsidP="00190190">
            <w:pPr>
              <w:pStyle w:val="TableText"/>
            </w:pPr>
            <w:r>
              <w:t>0.1</w:t>
            </w:r>
          </w:p>
        </w:tc>
        <w:tc>
          <w:tcPr>
            <w:tcW w:w="747" w:type="pct"/>
            <w:tcBorders>
              <w:top w:val="single" w:sz="2" w:space="0" w:color="000000"/>
              <w:left w:val="nil"/>
              <w:right w:val="nil"/>
            </w:tcBorders>
            <w:shd w:val="clear" w:color="auto" w:fill="auto"/>
            <w:vAlign w:val="center"/>
          </w:tcPr>
          <w:p w14:paraId="7E5F01E7" w14:textId="36B75860" w:rsidR="006F6FD7" w:rsidRPr="00B476EC" w:rsidRDefault="00EF4C47" w:rsidP="00190190">
            <w:pPr>
              <w:pStyle w:val="TableText"/>
            </w:pPr>
            <w:r>
              <w:t>14/0</w:t>
            </w:r>
            <w:r w:rsidR="00F75ED9">
              <w:t>3/2018</w:t>
            </w:r>
          </w:p>
        </w:tc>
        <w:tc>
          <w:tcPr>
            <w:tcW w:w="2890" w:type="pct"/>
            <w:tcBorders>
              <w:top w:val="single" w:sz="2" w:space="0" w:color="000000"/>
              <w:left w:val="nil"/>
            </w:tcBorders>
            <w:vAlign w:val="center"/>
          </w:tcPr>
          <w:p w14:paraId="1DD8E47F" w14:textId="3EF33149" w:rsidR="006F6FD7" w:rsidRPr="00B476EC" w:rsidRDefault="00F75ED9" w:rsidP="00190190">
            <w:pPr>
              <w:pStyle w:val="TableText"/>
            </w:pPr>
            <w:r>
              <w:t>Initial draft</w:t>
            </w:r>
          </w:p>
        </w:tc>
      </w:tr>
      <w:tr w:rsidR="002B7F92" w:rsidRPr="00B476EC" w14:paraId="03B71E55" w14:textId="77777777" w:rsidTr="00574E87">
        <w:trPr>
          <w:trHeight w:val="290"/>
        </w:trPr>
        <w:tc>
          <w:tcPr>
            <w:tcW w:w="1363" w:type="pct"/>
            <w:tcBorders>
              <w:right w:val="nil"/>
            </w:tcBorders>
          </w:tcPr>
          <w:p w14:paraId="56AA901A" w14:textId="7BE7FE64" w:rsidR="002B7F92" w:rsidRPr="00B476EC" w:rsidRDefault="002B7F92" w:rsidP="002B7F92">
            <w:pPr>
              <w:pStyle w:val="TableText"/>
            </w:pPr>
            <w:r w:rsidRPr="00B271B1">
              <w:t>0.2</w:t>
            </w:r>
          </w:p>
        </w:tc>
        <w:tc>
          <w:tcPr>
            <w:tcW w:w="747" w:type="pct"/>
            <w:tcBorders>
              <w:left w:val="nil"/>
              <w:right w:val="nil"/>
            </w:tcBorders>
            <w:shd w:val="clear" w:color="auto" w:fill="auto"/>
          </w:tcPr>
          <w:p w14:paraId="686727DC" w14:textId="0E1734BF" w:rsidR="002B7F92" w:rsidRPr="00B476EC" w:rsidRDefault="002B7F92" w:rsidP="002B7F92">
            <w:pPr>
              <w:pStyle w:val="TableText"/>
            </w:pPr>
            <w:r w:rsidRPr="00B271B1">
              <w:t>22/06/2018</w:t>
            </w:r>
          </w:p>
        </w:tc>
        <w:tc>
          <w:tcPr>
            <w:tcW w:w="2890" w:type="pct"/>
            <w:tcBorders>
              <w:left w:val="nil"/>
            </w:tcBorders>
          </w:tcPr>
          <w:p w14:paraId="58710AC5" w14:textId="2B4F44F3" w:rsidR="002B7F92" w:rsidRPr="00B476EC" w:rsidRDefault="002B7F92" w:rsidP="002B7F92">
            <w:pPr>
              <w:pStyle w:val="TableText"/>
            </w:pPr>
            <w:r w:rsidRPr="00B271B1">
              <w:t>Second draft following initial reviews with team</w:t>
            </w:r>
          </w:p>
        </w:tc>
      </w:tr>
      <w:tr w:rsidR="002B7F92" w:rsidRPr="00B476EC" w14:paraId="69D20909" w14:textId="77777777" w:rsidTr="00574E87">
        <w:trPr>
          <w:trHeight w:val="290"/>
        </w:trPr>
        <w:tc>
          <w:tcPr>
            <w:tcW w:w="1363" w:type="pct"/>
            <w:tcBorders>
              <w:right w:val="nil"/>
            </w:tcBorders>
          </w:tcPr>
          <w:p w14:paraId="23135289" w14:textId="1B14F5A5" w:rsidR="002B7F92" w:rsidRPr="00B476EC" w:rsidRDefault="002B7F92" w:rsidP="002B7F92">
            <w:pPr>
              <w:pStyle w:val="TableText"/>
            </w:pPr>
            <w:r w:rsidRPr="00B271B1">
              <w:t>0.3</w:t>
            </w:r>
          </w:p>
        </w:tc>
        <w:tc>
          <w:tcPr>
            <w:tcW w:w="747" w:type="pct"/>
            <w:tcBorders>
              <w:left w:val="nil"/>
              <w:right w:val="nil"/>
            </w:tcBorders>
            <w:shd w:val="clear" w:color="auto" w:fill="auto"/>
          </w:tcPr>
          <w:p w14:paraId="37521954" w14:textId="0E208CD7" w:rsidR="002B7F92" w:rsidRPr="00B476EC" w:rsidRDefault="002B7F92" w:rsidP="002B7F92">
            <w:pPr>
              <w:pStyle w:val="TableText"/>
            </w:pPr>
            <w:r w:rsidRPr="00B271B1">
              <w:t>29/08/2018</w:t>
            </w:r>
          </w:p>
        </w:tc>
        <w:tc>
          <w:tcPr>
            <w:tcW w:w="2890" w:type="pct"/>
            <w:tcBorders>
              <w:left w:val="nil"/>
            </w:tcBorders>
          </w:tcPr>
          <w:p w14:paraId="63A270E6" w14:textId="11C7DC0A" w:rsidR="002B7F92" w:rsidRPr="00B476EC" w:rsidRDefault="002B7F92" w:rsidP="002B7F92">
            <w:pPr>
              <w:pStyle w:val="TableText"/>
            </w:pPr>
            <w:r w:rsidRPr="00B271B1">
              <w:t>Technical author initial review</w:t>
            </w:r>
          </w:p>
        </w:tc>
      </w:tr>
      <w:tr w:rsidR="00885851" w:rsidRPr="00B476EC" w14:paraId="186E4C32" w14:textId="77777777" w:rsidTr="00574E87">
        <w:trPr>
          <w:trHeight w:val="290"/>
        </w:trPr>
        <w:tc>
          <w:tcPr>
            <w:tcW w:w="1363" w:type="pct"/>
            <w:tcBorders>
              <w:right w:val="nil"/>
            </w:tcBorders>
            <w:vAlign w:val="center"/>
          </w:tcPr>
          <w:p w14:paraId="7E3213F6" w14:textId="36CF6C89" w:rsidR="00885851" w:rsidRPr="00B476EC" w:rsidRDefault="00574E87" w:rsidP="00190190">
            <w:pPr>
              <w:pStyle w:val="TableText"/>
            </w:pPr>
            <w:r>
              <w:t>0.4</w:t>
            </w:r>
          </w:p>
        </w:tc>
        <w:tc>
          <w:tcPr>
            <w:tcW w:w="747" w:type="pct"/>
            <w:tcBorders>
              <w:left w:val="nil"/>
              <w:right w:val="nil"/>
            </w:tcBorders>
            <w:shd w:val="clear" w:color="auto" w:fill="auto"/>
            <w:vAlign w:val="center"/>
          </w:tcPr>
          <w:p w14:paraId="6234CADD" w14:textId="61F9D580" w:rsidR="00885851" w:rsidRPr="00B476EC" w:rsidRDefault="007B3C7B" w:rsidP="00190190">
            <w:pPr>
              <w:pStyle w:val="TableText"/>
            </w:pPr>
            <w:r w:rsidRPr="007B3C7B">
              <w:t>25/09/2018</w:t>
            </w:r>
          </w:p>
        </w:tc>
        <w:tc>
          <w:tcPr>
            <w:tcW w:w="2890" w:type="pct"/>
            <w:tcBorders>
              <w:left w:val="nil"/>
            </w:tcBorders>
            <w:vAlign w:val="center"/>
          </w:tcPr>
          <w:p w14:paraId="1E575BED" w14:textId="0BDAABA3" w:rsidR="00885851" w:rsidRPr="00B476EC" w:rsidRDefault="007B3C7B" w:rsidP="00190190">
            <w:pPr>
              <w:pStyle w:val="TableText"/>
            </w:pPr>
            <w:r w:rsidRPr="007B3C7B">
              <w:t>Updated following clinical and further technical review</w:t>
            </w:r>
          </w:p>
        </w:tc>
      </w:tr>
      <w:tr w:rsidR="00CA643D" w:rsidRPr="00B476EC" w14:paraId="45C02A62" w14:textId="77777777" w:rsidTr="00574E87">
        <w:trPr>
          <w:trHeight w:val="290"/>
        </w:trPr>
        <w:tc>
          <w:tcPr>
            <w:tcW w:w="1363" w:type="pct"/>
            <w:tcBorders>
              <w:right w:val="nil"/>
            </w:tcBorders>
            <w:vAlign w:val="center"/>
          </w:tcPr>
          <w:p w14:paraId="5A6DDD60" w14:textId="7186AEFE" w:rsidR="00CA643D" w:rsidRPr="00B476EC" w:rsidRDefault="007B3C7B" w:rsidP="00190190">
            <w:pPr>
              <w:pStyle w:val="TableText"/>
            </w:pPr>
            <w:r>
              <w:t>0.5</w:t>
            </w:r>
          </w:p>
        </w:tc>
        <w:tc>
          <w:tcPr>
            <w:tcW w:w="747" w:type="pct"/>
            <w:tcBorders>
              <w:left w:val="nil"/>
              <w:right w:val="nil"/>
            </w:tcBorders>
            <w:shd w:val="clear" w:color="auto" w:fill="auto"/>
            <w:vAlign w:val="center"/>
          </w:tcPr>
          <w:p w14:paraId="43D28317" w14:textId="3B9D8E07" w:rsidR="00CA643D" w:rsidRPr="00B476EC" w:rsidRDefault="007B3C7B" w:rsidP="00190190">
            <w:pPr>
              <w:pStyle w:val="TableText"/>
            </w:pPr>
            <w:r>
              <w:t>27/09/2018</w:t>
            </w:r>
          </w:p>
        </w:tc>
        <w:tc>
          <w:tcPr>
            <w:tcW w:w="2890" w:type="pct"/>
            <w:tcBorders>
              <w:left w:val="nil"/>
            </w:tcBorders>
            <w:vAlign w:val="center"/>
          </w:tcPr>
          <w:p w14:paraId="7DFBF3AD" w14:textId="7129F273" w:rsidR="00CA643D" w:rsidRPr="00B476EC" w:rsidRDefault="00E20B7C" w:rsidP="00190190">
            <w:pPr>
              <w:pStyle w:val="TableText"/>
            </w:pPr>
            <w:r>
              <w:t>Added new template and reviewed</w:t>
            </w:r>
          </w:p>
        </w:tc>
      </w:tr>
      <w:tr w:rsidR="006E4605" w:rsidRPr="00B476EC" w14:paraId="199909AE" w14:textId="77777777" w:rsidTr="00574E87">
        <w:trPr>
          <w:trHeight w:val="290"/>
        </w:trPr>
        <w:tc>
          <w:tcPr>
            <w:tcW w:w="1363" w:type="pct"/>
            <w:tcBorders>
              <w:right w:val="nil"/>
            </w:tcBorders>
            <w:vAlign w:val="center"/>
          </w:tcPr>
          <w:p w14:paraId="3B6E8F85" w14:textId="0ED1F10C" w:rsidR="006E4605" w:rsidRDefault="006E4605" w:rsidP="00190190">
            <w:pPr>
              <w:pStyle w:val="TableText"/>
            </w:pPr>
            <w:r>
              <w:t>0.6</w:t>
            </w:r>
          </w:p>
        </w:tc>
        <w:tc>
          <w:tcPr>
            <w:tcW w:w="747" w:type="pct"/>
            <w:tcBorders>
              <w:left w:val="nil"/>
              <w:right w:val="nil"/>
            </w:tcBorders>
            <w:shd w:val="clear" w:color="auto" w:fill="auto"/>
            <w:vAlign w:val="center"/>
          </w:tcPr>
          <w:p w14:paraId="1B84A654" w14:textId="2C8BDD93" w:rsidR="006E4605" w:rsidRDefault="006E4605" w:rsidP="00190190">
            <w:pPr>
              <w:pStyle w:val="TableText"/>
            </w:pPr>
            <w:r>
              <w:t>28/09/2018</w:t>
            </w:r>
          </w:p>
        </w:tc>
        <w:tc>
          <w:tcPr>
            <w:tcW w:w="2890" w:type="pct"/>
            <w:tcBorders>
              <w:left w:val="nil"/>
            </w:tcBorders>
            <w:vAlign w:val="center"/>
          </w:tcPr>
          <w:p w14:paraId="4AEDA328" w14:textId="5C76C5BE" w:rsidR="006E4605" w:rsidRDefault="006E4605" w:rsidP="00190190">
            <w:pPr>
              <w:pStyle w:val="TableText"/>
            </w:pPr>
            <w:r>
              <w:t>Baselined</w:t>
            </w:r>
          </w:p>
        </w:tc>
      </w:tr>
      <w:tr w:rsidR="001B73C7" w:rsidRPr="00B476EC" w14:paraId="1B617C9C" w14:textId="77777777" w:rsidTr="00574E87">
        <w:trPr>
          <w:trHeight w:val="290"/>
        </w:trPr>
        <w:tc>
          <w:tcPr>
            <w:tcW w:w="1363" w:type="pct"/>
            <w:tcBorders>
              <w:right w:val="nil"/>
            </w:tcBorders>
            <w:vAlign w:val="center"/>
          </w:tcPr>
          <w:p w14:paraId="29174592" w14:textId="1F5E6267" w:rsidR="001B73C7" w:rsidRDefault="001B73C7" w:rsidP="00190190">
            <w:pPr>
              <w:pStyle w:val="TableText"/>
            </w:pPr>
            <w:r>
              <w:t>1.0</w:t>
            </w:r>
          </w:p>
        </w:tc>
        <w:tc>
          <w:tcPr>
            <w:tcW w:w="747" w:type="pct"/>
            <w:tcBorders>
              <w:left w:val="nil"/>
              <w:right w:val="nil"/>
            </w:tcBorders>
            <w:shd w:val="clear" w:color="auto" w:fill="auto"/>
            <w:vAlign w:val="center"/>
          </w:tcPr>
          <w:p w14:paraId="7CD4B133" w14:textId="405F70F0" w:rsidR="001B73C7" w:rsidRDefault="001B73C7" w:rsidP="00190190">
            <w:pPr>
              <w:pStyle w:val="TableText"/>
            </w:pPr>
            <w:r>
              <w:t>09/10/2018</w:t>
            </w:r>
          </w:p>
        </w:tc>
        <w:tc>
          <w:tcPr>
            <w:tcW w:w="2890" w:type="pct"/>
            <w:tcBorders>
              <w:left w:val="nil"/>
            </w:tcBorders>
            <w:vAlign w:val="center"/>
          </w:tcPr>
          <w:p w14:paraId="069EF674" w14:textId="16214CD9" w:rsidR="001B73C7" w:rsidRDefault="001B73C7" w:rsidP="00190190">
            <w:pPr>
              <w:pStyle w:val="TableText"/>
            </w:pPr>
            <w:r>
              <w:t>Updated following clinical approval</w:t>
            </w:r>
          </w:p>
        </w:tc>
      </w:tr>
    </w:tbl>
    <w:p w14:paraId="7826D939" w14:textId="77777777" w:rsidR="006F6FD7" w:rsidRPr="00B476EC" w:rsidRDefault="006F6FD7" w:rsidP="00BC33FE"/>
    <w:p w14:paraId="056867EE" w14:textId="77777777" w:rsidR="00DB6514" w:rsidRPr="0032477B" w:rsidRDefault="00DB6514" w:rsidP="0032477B">
      <w:pPr>
        <w:pStyle w:val="DocMgmtSubhead"/>
      </w:pPr>
      <w:bookmarkStart w:id="2" w:name="_Toc350847281"/>
      <w:bookmarkStart w:id="3" w:name="_Toc350847325"/>
      <w:bookmarkStart w:id="4" w:name="_Hlk526850052"/>
      <w:r w:rsidRPr="0032477B">
        <w:t>Reviewers</w:t>
      </w:r>
      <w:bookmarkEnd w:id="2"/>
      <w:bookmarkEnd w:id="3"/>
    </w:p>
    <w:p w14:paraId="1167D1A2"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669"/>
        <w:gridCol w:w="2444"/>
        <w:gridCol w:w="1849"/>
        <w:gridCol w:w="1902"/>
      </w:tblGrid>
      <w:tr w:rsidR="00DB6514" w:rsidRPr="00B476EC" w14:paraId="03778C58" w14:textId="77777777" w:rsidTr="003B7A1D">
        <w:tc>
          <w:tcPr>
            <w:tcW w:w="1860" w:type="pct"/>
            <w:tcBorders>
              <w:top w:val="single" w:sz="2" w:space="0" w:color="000000"/>
              <w:bottom w:val="single" w:sz="2" w:space="0" w:color="000000"/>
              <w:right w:val="nil"/>
            </w:tcBorders>
          </w:tcPr>
          <w:p w14:paraId="56E1E1DB"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32A27CA1"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1E93FFD0"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EC98171" w14:textId="77777777" w:rsidR="00DB6514" w:rsidRPr="00B476EC" w:rsidRDefault="00DB6514" w:rsidP="00593F35">
            <w:pPr>
              <w:pStyle w:val="TableHeader"/>
              <w:rPr>
                <w:lang w:val="en-GB"/>
              </w:rPr>
            </w:pPr>
            <w:r w:rsidRPr="00B476EC">
              <w:rPr>
                <w:lang w:val="en-GB"/>
              </w:rPr>
              <w:t>Version</w:t>
            </w:r>
          </w:p>
        </w:tc>
      </w:tr>
      <w:tr w:rsidR="003B7A1D" w:rsidRPr="00B476EC" w14:paraId="25B4D9FD" w14:textId="77777777" w:rsidTr="003B7A1D">
        <w:tc>
          <w:tcPr>
            <w:tcW w:w="1860" w:type="pct"/>
            <w:tcBorders>
              <w:top w:val="single" w:sz="2" w:space="0" w:color="000000"/>
              <w:right w:val="nil"/>
            </w:tcBorders>
          </w:tcPr>
          <w:p w14:paraId="1C4FB99A" w14:textId="0CEFA969" w:rsidR="003B7A1D" w:rsidRPr="00B476EC" w:rsidRDefault="003B7A1D" w:rsidP="003B7A1D">
            <w:pPr>
              <w:pStyle w:val="TableText"/>
            </w:pPr>
            <w:r w:rsidRPr="00F05C3C">
              <w:t>Leo Fogarty</w:t>
            </w:r>
          </w:p>
        </w:tc>
        <w:tc>
          <w:tcPr>
            <w:tcW w:w="1239" w:type="pct"/>
            <w:tcBorders>
              <w:top w:val="single" w:sz="2" w:space="0" w:color="000000"/>
              <w:left w:val="nil"/>
              <w:right w:val="nil"/>
            </w:tcBorders>
            <w:shd w:val="clear" w:color="auto" w:fill="auto"/>
          </w:tcPr>
          <w:p w14:paraId="3990142D" w14:textId="6142E1F5" w:rsidR="003B7A1D" w:rsidRPr="00B476EC" w:rsidRDefault="003B7A1D" w:rsidP="003B7A1D">
            <w:pPr>
              <w:pStyle w:val="TableText"/>
            </w:pPr>
            <w:r w:rsidRPr="00F05C3C">
              <w:t>Clinical Safety Officer, GP2GP</w:t>
            </w:r>
          </w:p>
        </w:tc>
        <w:tc>
          <w:tcPr>
            <w:tcW w:w="937" w:type="pct"/>
            <w:tcBorders>
              <w:top w:val="single" w:sz="2" w:space="0" w:color="000000"/>
              <w:left w:val="nil"/>
              <w:right w:val="nil"/>
            </w:tcBorders>
            <w:vAlign w:val="center"/>
          </w:tcPr>
          <w:p w14:paraId="6762C3E8" w14:textId="77777777" w:rsidR="003B7A1D" w:rsidRPr="00B476EC" w:rsidRDefault="003B7A1D" w:rsidP="003B7A1D">
            <w:pPr>
              <w:pStyle w:val="TableText"/>
            </w:pPr>
          </w:p>
        </w:tc>
        <w:tc>
          <w:tcPr>
            <w:tcW w:w="964" w:type="pct"/>
            <w:tcBorders>
              <w:top w:val="single" w:sz="2" w:space="0" w:color="000000"/>
              <w:left w:val="nil"/>
            </w:tcBorders>
            <w:shd w:val="clear" w:color="auto" w:fill="auto"/>
            <w:vAlign w:val="center"/>
          </w:tcPr>
          <w:p w14:paraId="53029903" w14:textId="77777777" w:rsidR="003B7A1D" w:rsidRPr="00B476EC" w:rsidRDefault="003B7A1D" w:rsidP="003B7A1D">
            <w:pPr>
              <w:pStyle w:val="TableText"/>
            </w:pPr>
          </w:p>
        </w:tc>
      </w:tr>
      <w:tr w:rsidR="003B7A1D" w:rsidRPr="00B476EC" w14:paraId="1F283243" w14:textId="77777777" w:rsidTr="003B7A1D">
        <w:tc>
          <w:tcPr>
            <w:tcW w:w="1860" w:type="pct"/>
            <w:tcBorders>
              <w:right w:val="nil"/>
            </w:tcBorders>
          </w:tcPr>
          <w:p w14:paraId="261B86D8" w14:textId="5DE35269" w:rsidR="003B7A1D" w:rsidRPr="00B476EC" w:rsidRDefault="003B7A1D" w:rsidP="003B7A1D">
            <w:pPr>
              <w:pStyle w:val="TableText"/>
            </w:pPr>
            <w:r w:rsidRPr="00F05C3C">
              <w:t>Neill Jones</w:t>
            </w:r>
          </w:p>
        </w:tc>
        <w:tc>
          <w:tcPr>
            <w:tcW w:w="1239" w:type="pct"/>
            <w:tcBorders>
              <w:left w:val="nil"/>
              <w:right w:val="nil"/>
            </w:tcBorders>
            <w:shd w:val="clear" w:color="auto" w:fill="auto"/>
          </w:tcPr>
          <w:p w14:paraId="0910CE56" w14:textId="74DD8140" w:rsidR="003B7A1D" w:rsidRPr="00B476EC" w:rsidRDefault="003B7A1D" w:rsidP="003B7A1D">
            <w:pPr>
              <w:pStyle w:val="TableText"/>
            </w:pPr>
            <w:r w:rsidRPr="00F05C3C">
              <w:t>Clinical Safety Lead, GP2GP</w:t>
            </w:r>
          </w:p>
        </w:tc>
        <w:tc>
          <w:tcPr>
            <w:tcW w:w="937" w:type="pct"/>
            <w:tcBorders>
              <w:left w:val="nil"/>
              <w:right w:val="nil"/>
            </w:tcBorders>
            <w:vAlign w:val="center"/>
          </w:tcPr>
          <w:p w14:paraId="64C85FC1" w14:textId="77777777" w:rsidR="003B7A1D" w:rsidRPr="00B476EC" w:rsidRDefault="003B7A1D" w:rsidP="003B7A1D">
            <w:pPr>
              <w:pStyle w:val="TableText"/>
            </w:pPr>
          </w:p>
        </w:tc>
        <w:tc>
          <w:tcPr>
            <w:tcW w:w="964" w:type="pct"/>
            <w:tcBorders>
              <w:left w:val="nil"/>
            </w:tcBorders>
            <w:shd w:val="clear" w:color="auto" w:fill="auto"/>
            <w:vAlign w:val="center"/>
          </w:tcPr>
          <w:p w14:paraId="760E56E3" w14:textId="77777777" w:rsidR="003B7A1D" w:rsidRPr="00B476EC" w:rsidRDefault="003B7A1D" w:rsidP="003B7A1D">
            <w:pPr>
              <w:pStyle w:val="TableText"/>
            </w:pPr>
          </w:p>
        </w:tc>
      </w:tr>
      <w:tr w:rsidR="003B7A1D" w:rsidRPr="00B476EC" w14:paraId="1A932192" w14:textId="77777777" w:rsidTr="003B7A1D">
        <w:tc>
          <w:tcPr>
            <w:tcW w:w="1860" w:type="pct"/>
            <w:tcBorders>
              <w:right w:val="nil"/>
            </w:tcBorders>
          </w:tcPr>
          <w:p w14:paraId="49E66AE5" w14:textId="70B45ECC" w:rsidR="003B7A1D" w:rsidRPr="00B476EC" w:rsidRDefault="003B7A1D" w:rsidP="003B7A1D">
            <w:pPr>
              <w:pStyle w:val="TableText"/>
            </w:pPr>
            <w:r w:rsidRPr="00F05C3C">
              <w:t>Pete Turnbull</w:t>
            </w:r>
          </w:p>
        </w:tc>
        <w:tc>
          <w:tcPr>
            <w:tcW w:w="1239" w:type="pct"/>
            <w:tcBorders>
              <w:left w:val="nil"/>
              <w:right w:val="nil"/>
            </w:tcBorders>
            <w:shd w:val="clear" w:color="auto" w:fill="auto"/>
          </w:tcPr>
          <w:p w14:paraId="279F9D13" w14:textId="52A59D56" w:rsidR="003B7A1D" w:rsidRPr="00B476EC" w:rsidRDefault="003B7A1D" w:rsidP="003B7A1D">
            <w:pPr>
              <w:pStyle w:val="TableText"/>
            </w:pPr>
            <w:r w:rsidRPr="00F05C3C">
              <w:t>Interoperability Lead, SNOMED in Primary Care</w:t>
            </w:r>
          </w:p>
        </w:tc>
        <w:tc>
          <w:tcPr>
            <w:tcW w:w="937" w:type="pct"/>
            <w:tcBorders>
              <w:left w:val="nil"/>
              <w:right w:val="nil"/>
            </w:tcBorders>
            <w:vAlign w:val="center"/>
          </w:tcPr>
          <w:p w14:paraId="31599920" w14:textId="77777777" w:rsidR="003B7A1D" w:rsidRPr="00B476EC" w:rsidRDefault="003B7A1D" w:rsidP="003B7A1D">
            <w:pPr>
              <w:pStyle w:val="TableText"/>
            </w:pPr>
          </w:p>
        </w:tc>
        <w:tc>
          <w:tcPr>
            <w:tcW w:w="964" w:type="pct"/>
            <w:tcBorders>
              <w:left w:val="nil"/>
            </w:tcBorders>
            <w:shd w:val="clear" w:color="auto" w:fill="auto"/>
            <w:vAlign w:val="center"/>
          </w:tcPr>
          <w:p w14:paraId="55543571" w14:textId="77777777" w:rsidR="003B7A1D" w:rsidRPr="00B476EC" w:rsidRDefault="003B7A1D" w:rsidP="003B7A1D">
            <w:pPr>
              <w:pStyle w:val="TableText"/>
            </w:pPr>
          </w:p>
        </w:tc>
      </w:tr>
      <w:tr w:rsidR="003B7A1D" w:rsidRPr="00B476EC" w14:paraId="432F38FF" w14:textId="77777777" w:rsidTr="003B7A1D">
        <w:tc>
          <w:tcPr>
            <w:tcW w:w="1860" w:type="pct"/>
            <w:tcBorders>
              <w:right w:val="nil"/>
            </w:tcBorders>
          </w:tcPr>
          <w:p w14:paraId="6DF22384" w14:textId="3691D55E" w:rsidR="003B7A1D" w:rsidRPr="00B476EC" w:rsidRDefault="003B7A1D" w:rsidP="003B7A1D">
            <w:pPr>
              <w:pStyle w:val="TableText"/>
            </w:pPr>
            <w:r w:rsidRPr="00F05C3C">
              <w:t>Andrew Perry</w:t>
            </w:r>
          </w:p>
        </w:tc>
        <w:tc>
          <w:tcPr>
            <w:tcW w:w="1239" w:type="pct"/>
            <w:tcBorders>
              <w:left w:val="nil"/>
              <w:right w:val="nil"/>
            </w:tcBorders>
            <w:shd w:val="clear" w:color="auto" w:fill="auto"/>
          </w:tcPr>
          <w:p w14:paraId="7D497051" w14:textId="13B34AEC" w:rsidR="003B7A1D" w:rsidRPr="00B476EC" w:rsidRDefault="003B7A1D" w:rsidP="003B7A1D">
            <w:pPr>
              <w:pStyle w:val="TableText"/>
            </w:pPr>
            <w:r w:rsidRPr="00F05C3C">
              <w:t>UK Terminology Centre</w:t>
            </w:r>
          </w:p>
        </w:tc>
        <w:tc>
          <w:tcPr>
            <w:tcW w:w="937" w:type="pct"/>
            <w:tcBorders>
              <w:left w:val="nil"/>
              <w:right w:val="nil"/>
            </w:tcBorders>
            <w:vAlign w:val="center"/>
          </w:tcPr>
          <w:p w14:paraId="0566CCE3" w14:textId="77777777" w:rsidR="003B7A1D" w:rsidRPr="00B476EC" w:rsidRDefault="003B7A1D" w:rsidP="003B7A1D">
            <w:pPr>
              <w:pStyle w:val="TableText"/>
            </w:pPr>
          </w:p>
        </w:tc>
        <w:tc>
          <w:tcPr>
            <w:tcW w:w="964" w:type="pct"/>
            <w:tcBorders>
              <w:left w:val="nil"/>
            </w:tcBorders>
            <w:shd w:val="clear" w:color="auto" w:fill="auto"/>
            <w:vAlign w:val="center"/>
          </w:tcPr>
          <w:p w14:paraId="53CEE4E0" w14:textId="77777777" w:rsidR="003B7A1D" w:rsidRPr="00B476EC" w:rsidRDefault="003B7A1D" w:rsidP="003B7A1D">
            <w:pPr>
              <w:pStyle w:val="TableText"/>
            </w:pPr>
          </w:p>
        </w:tc>
      </w:tr>
      <w:tr w:rsidR="003B7A1D" w:rsidRPr="00B476EC" w14:paraId="798E1B3F" w14:textId="77777777" w:rsidTr="003B7A1D">
        <w:tc>
          <w:tcPr>
            <w:tcW w:w="1860" w:type="pct"/>
            <w:tcBorders>
              <w:right w:val="nil"/>
            </w:tcBorders>
          </w:tcPr>
          <w:p w14:paraId="37C30D8F" w14:textId="79471DBB" w:rsidR="003B7A1D" w:rsidRPr="00127251" w:rsidRDefault="00127251" w:rsidP="003B7A1D">
            <w:pPr>
              <w:pStyle w:val="TableText"/>
            </w:pPr>
            <w:r w:rsidRPr="00127251">
              <w:t>Simon Fitzgerald</w:t>
            </w:r>
          </w:p>
        </w:tc>
        <w:tc>
          <w:tcPr>
            <w:tcW w:w="1239" w:type="pct"/>
            <w:tcBorders>
              <w:left w:val="nil"/>
              <w:right w:val="nil"/>
            </w:tcBorders>
            <w:shd w:val="clear" w:color="auto" w:fill="auto"/>
          </w:tcPr>
          <w:p w14:paraId="50EC01B0" w14:textId="29E56B60" w:rsidR="003B7A1D" w:rsidRPr="00127251" w:rsidRDefault="003B7A1D" w:rsidP="003B7A1D">
            <w:pPr>
              <w:pStyle w:val="TableText"/>
            </w:pPr>
            <w:r w:rsidRPr="00127251">
              <w:t>GP Connect Project Manager for Structured Data</w:t>
            </w:r>
          </w:p>
        </w:tc>
        <w:tc>
          <w:tcPr>
            <w:tcW w:w="937" w:type="pct"/>
            <w:tcBorders>
              <w:left w:val="nil"/>
              <w:right w:val="nil"/>
            </w:tcBorders>
            <w:vAlign w:val="center"/>
          </w:tcPr>
          <w:p w14:paraId="0909A0F8" w14:textId="77777777" w:rsidR="003B7A1D" w:rsidRPr="00B476EC" w:rsidRDefault="003B7A1D" w:rsidP="003B7A1D">
            <w:pPr>
              <w:pStyle w:val="TableText"/>
            </w:pPr>
          </w:p>
        </w:tc>
        <w:tc>
          <w:tcPr>
            <w:tcW w:w="964" w:type="pct"/>
            <w:tcBorders>
              <w:left w:val="nil"/>
            </w:tcBorders>
            <w:shd w:val="clear" w:color="auto" w:fill="auto"/>
            <w:vAlign w:val="center"/>
          </w:tcPr>
          <w:p w14:paraId="51711060" w14:textId="77777777" w:rsidR="003B7A1D" w:rsidRPr="00B476EC" w:rsidRDefault="003B7A1D" w:rsidP="003B7A1D">
            <w:pPr>
              <w:pStyle w:val="TableText"/>
            </w:pPr>
          </w:p>
        </w:tc>
      </w:tr>
      <w:tr w:rsidR="00D84AD7" w:rsidRPr="00B476EC" w14:paraId="4B1E8396" w14:textId="77777777" w:rsidTr="003B7A1D">
        <w:tc>
          <w:tcPr>
            <w:tcW w:w="1860" w:type="pct"/>
            <w:tcBorders>
              <w:right w:val="nil"/>
            </w:tcBorders>
          </w:tcPr>
          <w:p w14:paraId="768B6949" w14:textId="6E44D247" w:rsidR="00D84AD7" w:rsidRPr="00127251" w:rsidRDefault="00D84AD7" w:rsidP="003B7A1D">
            <w:pPr>
              <w:pStyle w:val="TableText"/>
            </w:pPr>
            <w:r>
              <w:t>Marcus Baw</w:t>
            </w:r>
          </w:p>
        </w:tc>
        <w:tc>
          <w:tcPr>
            <w:tcW w:w="1239" w:type="pct"/>
            <w:tcBorders>
              <w:left w:val="nil"/>
              <w:right w:val="nil"/>
            </w:tcBorders>
            <w:shd w:val="clear" w:color="auto" w:fill="auto"/>
          </w:tcPr>
          <w:p w14:paraId="5D52FF51" w14:textId="0ED0A69C" w:rsidR="00D84AD7" w:rsidRPr="00127251" w:rsidRDefault="001B73C7" w:rsidP="003B7A1D">
            <w:pPr>
              <w:pStyle w:val="TableText"/>
            </w:pPr>
            <w:r>
              <w:t xml:space="preserve">GP Connect and </w:t>
            </w:r>
            <w:proofErr w:type="spellStart"/>
            <w:r>
              <w:t>GPSoC</w:t>
            </w:r>
            <w:proofErr w:type="spellEnd"/>
            <w:r>
              <w:t xml:space="preserve"> Clinical Advisor</w:t>
            </w:r>
          </w:p>
        </w:tc>
        <w:tc>
          <w:tcPr>
            <w:tcW w:w="937" w:type="pct"/>
            <w:tcBorders>
              <w:left w:val="nil"/>
              <w:right w:val="nil"/>
            </w:tcBorders>
            <w:vAlign w:val="center"/>
          </w:tcPr>
          <w:p w14:paraId="5419B28C" w14:textId="77777777" w:rsidR="00D84AD7" w:rsidRPr="00B476EC" w:rsidRDefault="00D84AD7" w:rsidP="003B7A1D">
            <w:pPr>
              <w:pStyle w:val="TableText"/>
            </w:pPr>
          </w:p>
        </w:tc>
        <w:tc>
          <w:tcPr>
            <w:tcW w:w="964" w:type="pct"/>
            <w:tcBorders>
              <w:left w:val="nil"/>
            </w:tcBorders>
            <w:shd w:val="clear" w:color="auto" w:fill="auto"/>
            <w:vAlign w:val="center"/>
          </w:tcPr>
          <w:p w14:paraId="78E382D1" w14:textId="77777777" w:rsidR="00D84AD7" w:rsidRPr="00B476EC" w:rsidRDefault="00D84AD7" w:rsidP="003B7A1D">
            <w:pPr>
              <w:pStyle w:val="TableText"/>
            </w:pPr>
          </w:p>
        </w:tc>
      </w:tr>
      <w:tr w:rsidR="00D84AD7" w:rsidRPr="00B476EC" w14:paraId="4013D776" w14:textId="77777777" w:rsidTr="003B7A1D">
        <w:tc>
          <w:tcPr>
            <w:tcW w:w="1860" w:type="pct"/>
            <w:tcBorders>
              <w:right w:val="nil"/>
            </w:tcBorders>
          </w:tcPr>
          <w:p w14:paraId="6CAAEE7A" w14:textId="512F06FF" w:rsidR="00D84AD7" w:rsidRPr="00127251" w:rsidRDefault="00D84AD7" w:rsidP="003B7A1D">
            <w:pPr>
              <w:pStyle w:val="TableText"/>
            </w:pPr>
            <w:r>
              <w:t>Rob Jeeves</w:t>
            </w:r>
          </w:p>
        </w:tc>
        <w:tc>
          <w:tcPr>
            <w:tcW w:w="1239" w:type="pct"/>
            <w:tcBorders>
              <w:left w:val="nil"/>
              <w:right w:val="nil"/>
            </w:tcBorders>
            <w:shd w:val="clear" w:color="auto" w:fill="auto"/>
          </w:tcPr>
          <w:p w14:paraId="748BA81E" w14:textId="5BA12821" w:rsidR="00D84AD7" w:rsidRPr="00127251" w:rsidRDefault="00D84AD7" w:rsidP="003B7A1D">
            <w:pPr>
              <w:pStyle w:val="TableText"/>
            </w:pPr>
            <w:r>
              <w:t>GP Connect Clinical Advisor</w:t>
            </w:r>
          </w:p>
        </w:tc>
        <w:tc>
          <w:tcPr>
            <w:tcW w:w="937" w:type="pct"/>
            <w:tcBorders>
              <w:left w:val="nil"/>
              <w:right w:val="nil"/>
            </w:tcBorders>
            <w:vAlign w:val="center"/>
          </w:tcPr>
          <w:p w14:paraId="2CBD7305" w14:textId="77777777" w:rsidR="00D84AD7" w:rsidRPr="00B476EC" w:rsidRDefault="00D84AD7" w:rsidP="003B7A1D">
            <w:pPr>
              <w:pStyle w:val="TableText"/>
            </w:pPr>
          </w:p>
        </w:tc>
        <w:tc>
          <w:tcPr>
            <w:tcW w:w="964" w:type="pct"/>
            <w:tcBorders>
              <w:left w:val="nil"/>
            </w:tcBorders>
            <w:shd w:val="clear" w:color="auto" w:fill="auto"/>
            <w:vAlign w:val="center"/>
          </w:tcPr>
          <w:p w14:paraId="7AF264D9" w14:textId="77777777" w:rsidR="00D84AD7" w:rsidRPr="00B476EC" w:rsidRDefault="00D84AD7" w:rsidP="003B7A1D">
            <w:pPr>
              <w:pStyle w:val="TableText"/>
            </w:pPr>
          </w:p>
        </w:tc>
      </w:tr>
      <w:tr w:rsidR="00D84AD7" w:rsidRPr="00B476EC" w14:paraId="2D1AB00A" w14:textId="77777777" w:rsidTr="003B7A1D">
        <w:tc>
          <w:tcPr>
            <w:tcW w:w="1860" w:type="pct"/>
            <w:tcBorders>
              <w:right w:val="nil"/>
            </w:tcBorders>
          </w:tcPr>
          <w:p w14:paraId="543DA2CE" w14:textId="77777777" w:rsidR="00D84AD7" w:rsidRPr="00127251" w:rsidRDefault="00D84AD7" w:rsidP="003B7A1D">
            <w:pPr>
              <w:pStyle w:val="TableText"/>
            </w:pPr>
          </w:p>
        </w:tc>
        <w:tc>
          <w:tcPr>
            <w:tcW w:w="1239" w:type="pct"/>
            <w:tcBorders>
              <w:left w:val="nil"/>
              <w:right w:val="nil"/>
            </w:tcBorders>
            <w:shd w:val="clear" w:color="auto" w:fill="auto"/>
          </w:tcPr>
          <w:p w14:paraId="5B9BA9FA" w14:textId="77777777" w:rsidR="00D84AD7" w:rsidRPr="00127251" w:rsidRDefault="00D84AD7" w:rsidP="003B7A1D">
            <w:pPr>
              <w:pStyle w:val="TableText"/>
            </w:pPr>
          </w:p>
        </w:tc>
        <w:tc>
          <w:tcPr>
            <w:tcW w:w="937" w:type="pct"/>
            <w:tcBorders>
              <w:left w:val="nil"/>
              <w:right w:val="nil"/>
            </w:tcBorders>
            <w:vAlign w:val="center"/>
          </w:tcPr>
          <w:p w14:paraId="7DD4C04C" w14:textId="77777777" w:rsidR="00D84AD7" w:rsidRPr="00B476EC" w:rsidRDefault="00D84AD7" w:rsidP="003B7A1D">
            <w:pPr>
              <w:pStyle w:val="TableText"/>
            </w:pPr>
          </w:p>
        </w:tc>
        <w:tc>
          <w:tcPr>
            <w:tcW w:w="964" w:type="pct"/>
            <w:tcBorders>
              <w:left w:val="nil"/>
            </w:tcBorders>
            <w:shd w:val="clear" w:color="auto" w:fill="auto"/>
            <w:vAlign w:val="center"/>
          </w:tcPr>
          <w:p w14:paraId="65E213B3" w14:textId="77777777" w:rsidR="00D84AD7" w:rsidRPr="00B476EC" w:rsidRDefault="00D84AD7" w:rsidP="003B7A1D">
            <w:pPr>
              <w:pStyle w:val="TableText"/>
            </w:pPr>
          </w:p>
        </w:tc>
      </w:tr>
    </w:tbl>
    <w:p w14:paraId="641CE81D" w14:textId="77777777" w:rsidR="00DB6514" w:rsidRPr="00B476EC" w:rsidRDefault="00DB6514" w:rsidP="00BC33FE"/>
    <w:p w14:paraId="44018E15"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0AB4848A"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0FED7E0F" w14:textId="77777777" w:rsidTr="00215FD9">
        <w:trPr>
          <w:trHeight w:val="290"/>
        </w:trPr>
        <w:tc>
          <w:tcPr>
            <w:tcW w:w="1356" w:type="pct"/>
            <w:tcBorders>
              <w:top w:val="single" w:sz="2" w:space="0" w:color="000000"/>
              <w:bottom w:val="single" w:sz="2" w:space="0" w:color="000000"/>
            </w:tcBorders>
          </w:tcPr>
          <w:p w14:paraId="4A4D4B7E"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125604CE"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0903191F"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6E77C46"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0997643F" w14:textId="77777777" w:rsidR="009C1371" w:rsidRPr="00B476EC" w:rsidRDefault="009C1371" w:rsidP="00BC33FE">
            <w:pPr>
              <w:pStyle w:val="TableHeader"/>
              <w:rPr>
                <w:lang w:val="en-GB"/>
              </w:rPr>
            </w:pPr>
            <w:r w:rsidRPr="00B476EC">
              <w:rPr>
                <w:lang w:val="en-GB"/>
              </w:rPr>
              <w:t>Version</w:t>
            </w:r>
          </w:p>
        </w:tc>
      </w:tr>
      <w:tr w:rsidR="008255CE" w:rsidRPr="00B476EC" w14:paraId="5A496511" w14:textId="77777777" w:rsidTr="00C740AB">
        <w:trPr>
          <w:trHeight w:val="290"/>
        </w:trPr>
        <w:tc>
          <w:tcPr>
            <w:tcW w:w="1356" w:type="pct"/>
            <w:tcBorders>
              <w:top w:val="single" w:sz="2" w:space="0" w:color="000000"/>
              <w:right w:val="nil"/>
            </w:tcBorders>
          </w:tcPr>
          <w:p w14:paraId="2509CFA1" w14:textId="723A762F" w:rsidR="008255CE" w:rsidRPr="00B476EC" w:rsidRDefault="00D84AD7" w:rsidP="008255CE">
            <w:pPr>
              <w:pStyle w:val="TableText"/>
            </w:pPr>
            <w:r>
              <w:t>Neill Jones</w:t>
            </w:r>
          </w:p>
        </w:tc>
        <w:tc>
          <w:tcPr>
            <w:tcW w:w="1133" w:type="pct"/>
            <w:tcBorders>
              <w:top w:val="single" w:sz="2" w:space="0" w:color="000000"/>
              <w:left w:val="nil"/>
              <w:right w:val="nil"/>
            </w:tcBorders>
          </w:tcPr>
          <w:p w14:paraId="046F2696" w14:textId="77777777" w:rsidR="008255CE" w:rsidRPr="00B476EC" w:rsidRDefault="008255CE" w:rsidP="008255CE">
            <w:pPr>
              <w:pStyle w:val="TableText"/>
            </w:pPr>
          </w:p>
        </w:tc>
        <w:tc>
          <w:tcPr>
            <w:tcW w:w="1194" w:type="pct"/>
            <w:tcBorders>
              <w:top w:val="single" w:sz="2" w:space="0" w:color="000000"/>
              <w:left w:val="nil"/>
              <w:right w:val="nil"/>
            </w:tcBorders>
          </w:tcPr>
          <w:p w14:paraId="37280CD4" w14:textId="5C7F0E0F" w:rsidR="008255CE" w:rsidRPr="00B476EC" w:rsidRDefault="001B73C7" w:rsidP="008255CE">
            <w:pPr>
              <w:pStyle w:val="TableText"/>
            </w:pPr>
            <w:r>
              <w:t xml:space="preserve">GP2GP </w:t>
            </w:r>
            <w:r w:rsidR="008255CE" w:rsidRPr="00482B5B">
              <w:t xml:space="preserve">Clinical </w:t>
            </w:r>
            <w:r>
              <w:t>Lead</w:t>
            </w:r>
          </w:p>
        </w:tc>
        <w:tc>
          <w:tcPr>
            <w:tcW w:w="732" w:type="pct"/>
            <w:tcBorders>
              <w:top w:val="single" w:sz="2" w:space="0" w:color="000000"/>
              <w:left w:val="nil"/>
              <w:right w:val="nil"/>
            </w:tcBorders>
            <w:vAlign w:val="center"/>
          </w:tcPr>
          <w:p w14:paraId="1680EDAC" w14:textId="77777777" w:rsidR="008255CE" w:rsidRPr="00B476EC" w:rsidRDefault="008255CE" w:rsidP="008255CE">
            <w:pPr>
              <w:pStyle w:val="TableText"/>
            </w:pPr>
          </w:p>
        </w:tc>
        <w:tc>
          <w:tcPr>
            <w:tcW w:w="585" w:type="pct"/>
            <w:tcBorders>
              <w:top w:val="single" w:sz="2" w:space="0" w:color="000000"/>
              <w:left w:val="nil"/>
            </w:tcBorders>
            <w:vAlign w:val="center"/>
          </w:tcPr>
          <w:p w14:paraId="6B2A8BFD" w14:textId="77777777" w:rsidR="008255CE" w:rsidRPr="00B476EC" w:rsidRDefault="008255CE" w:rsidP="008255CE">
            <w:pPr>
              <w:pStyle w:val="TableText"/>
            </w:pPr>
          </w:p>
        </w:tc>
      </w:tr>
      <w:tr w:rsidR="008255CE" w:rsidRPr="00B476EC" w14:paraId="2C7C96A5" w14:textId="77777777" w:rsidTr="00C740AB">
        <w:trPr>
          <w:trHeight w:val="290"/>
        </w:trPr>
        <w:tc>
          <w:tcPr>
            <w:tcW w:w="1356" w:type="pct"/>
            <w:tcBorders>
              <w:right w:val="nil"/>
            </w:tcBorders>
          </w:tcPr>
          <w:p w14:paraId="4CB71644" w14:textId="78C06296" w:rsidR="008255CE" w:rsidRPr="00B476EC" w:rsidRDefault="00D84AD7" w:rsidP="008255CE">
            <w:pPr>
              <w:pStyle w:val="TableText"/>
            </w:pPr>
            <w:r>
              <w:t>Marcus Baw</w:t>
            </w:r>
          </w:p>
        </w:tc>
        <w:tc>
          <w:tcPr>
            <w:tcW w:w="1133" w:type="pct"/>
            <w:tcBorders>
              <w:left w:val="nil"/>
              <w:right w:val="nil"/>
            </w:tcBorders>
          </w:tcPr>
          <w:p w14:paraId="26DE076C" w14:textId="77777777" w:rsidR="008255CE" w:rsidRPr="00B476EC" w:rsidRDefault="008255CE" w:rsidP="008255CE">
            <w:pPr>
              <w:pStyle w:val="TableText"/>
            </w:pPr>
          </w:p>
        </w:tc>
        <w:tc>
          <w:tcPr>
            <w:tcW w:w="1194" w:type="pct"/>
            <w:tcBorders>
              <w:left w:val="nil"/>
              <w:right w:val="nil"/>
            </w:tcBorders>
          </w:tcPr>
          <w:p w14:paraId="2ECF701C" w14:textId="3E893C9D" w:rsidR="008255CE" w:rsidRPr="00B476EC" w:rsidRDefault="001B73C7" w:rsidP="008255CE">
            <w:pPr>
              <w:pStyle w:val="TableText"/>
            </w:pPr>
            <w:r>
              <w:t xml:space="preserve">GP Connect and </w:t>
            </w:r>
            <w:proofErr w:type="spellStart"/>
            <w:r>
              <w:t>GPSoC</w:t>
            </w:r>
            <w:proofErr w:type="spellEnd"/>
            <w:r>
              <w:t xml:space="preserve"> Clinical Advisor</w:t>
            </w:r>
          </w:p>
        </w:tc>
        <w:tc>
          <w:tcPr>
            <w:tcW w:w="732" w:type="pct"/>
            <w:tcBorders>
              <w:left w:val="nil"/>
              <w:right w:val="nil"/>
            </w:tcBorders>
            <w:vAlign w:val="center"/>
          </w:tcPr>
          <w:p w14:paraId="670CACA6" w14:textId="77777777" w:rsidR="008255CE" w:rsidRPr="00B476EC" w:rsidRDefault="008255CE" w:rsidP="008255CE">
            <w:pPr>
              <w:pStyle w:val="TableText"/>
            </w:pPr>
          </w:p>
        </w:tc>
        <w:tc>
          <w:tcPr>
            <w:tcW w:w="585" w:type="pct"/>
            <w:tcBorders>
              <w:left w:val="nil"/>
            </w:tcBorders>
            <w:vAlign w:val="center"/>
          </w:tcPr>
          <w:p w14:paraId="6C484B45" w14:textId="77777777" w:rsidR="008255CE" w:rsidRPr="00B476EC" w:rsidRDefault="008255CE" w:rsidP="008255CE">
            <w:pPr>
              <w:pStyle w:val="TableText"/>
            </w:pPr>
          </w:p>
        </w:tc>
      </w:tr>
      <w:bookmarkEnd w:id="4"/>
    </w:tbl>
    <w:p w14:paraId="42AC0617" w14:textId="77777777" w:rsidR="009C1371" w:rsidRPr="00B476EC" w:rsidRDefault="009C1371" w:rsidP="00BC33FE"/>
    <w:p w14:paraId="5C728B80" w14:textId="77777777" w:rsidR="006F6FD7" w:rsidRPr="0032477B" w:rsidRDefault="00AF0245" w:rsidP="0032477B">
      <w:pPr>
        <w:pStyle w:val="DocMgmtSubhead"/>
      </w:pPr>
      <w:bookmarkStart w:id="7" w:name="_Toc350847283"/>
      <w:bookmarkStart w:id="8" w:name="_Toc350847327"/>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1CF30D6B" w14:textId="77777777" w:rsidTr="003841DF">
        <w:trPr>
          <w:tblHeader/>
        </w:trPr>
        <w:tc>
          <w:tcPr>
            <w:tcW w:w="1373" w:type="pct"/>
            <w:tcBorders>
              <w:top w:val="single" w:sz="2" w:space="0" w:color="000000"/>
              <w:bottom w:val="single" w:sz="2" w:space="0" w:color="000000"/>
            </w:tcBorders>
          </w:tcPr>
          <w:p w14:paraId="315EA3F6"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16C4F4E1" w14:textId="77777777" w:rsidR="004537AB" w:rsidRPr="00B476EC" w:rsidRDefault="004537AB" w:rsidP="00BC33FE">
            <w:pPr>
              <w:pStyle w:val="TableHeader"/>
              <w:rPr>
                <w:lang w:val="en-GB"/>
              </w:rPr>
            </w:pPr>
            <w:r w:rsidRPr="00B476EC">
              <w:rPr>
                <w:lang w:val="en-GB"/>
              </w:rPr>
              <w:t>What it stands for</w:t>
            </w:r>
          </w:p>
        </w:tc>
      </w:tr>
      <w:tr w:rsidR="00773A41" w:rsidRPr="00B476EC" w14:paraId="6960AC32" w14:textId="77777777" w:rsidTr="00190190">
        <w:tc>
          <w:tcPr>
            <w:tcW w:w="1373" w:type="pct"/>
            <w:vAlign w:val="center"/>
          </w:tcPr>
          <w:p w14:paraId="36177A64" w14:textId="77777777" w:rsidR="00773A41" w:rsidRPr="00B476EC" w:rsidRDefault="00773A41" w:rsidP="00AD78A7">
            <w:pPr>
              <w:pStyle w:val="TableText"/>
            </w:pPr>
            <w:r>
              <w:t>AMP</w:t>
            </w:r>
          </w:p>
        </w:tc>
        <w:tc>
          <w:tcPr>
            <w:tcW w:w="3627" w:type="pct"/>
            <w:vAlign w:val="center"/>
          </w:tcPr>
          <w:p w14:paraId="3DBF27A5" w14:textId="77777777" w:rsidR="00773A41" w:rsidRPr="00B476EC" w:rsidRDefault="00773A41" w:rsidP="00AD78A7">
            <w:pPr>
              <w:pStyle w:val="TableText"/>
            </w:pPr>
            <w:r>
              <w:rPr>
                <w:rFonts w:cs="Arial"/>
                <w:color w:val="000000"/>
                <w:sz w:val="20"/>
                <w:szCs w:val="20"/>
                <w:shd w:val="clear" w:color="auto" w:fill="FFFFFF"/>
              </w:rPr>
              <w:t>Actual Medicinal Product</w:t>
            </w:r>
          </w:p>
        </w:tc>
      </w:tr>
      <w:tr w:rsidR="00773A41" w:rsidRPr="00B476EC" w14:paraId="67078338" w14:textId="77777777" w:rsidTr="00190190">
        <w:tc>
          <w:tcPr>
            <w:tcW w:w="1373" w:type="pct"/>
            <w:vAlign w:val="center"/>
          </w:tcPr>
          <w:p w14:paraId="3CBAF067" w14:textId="77777777" w:rsidR="00773A41" w:rsidRPr="00B476EC" w:rsidRDefault="00773A41" w:rsidP="00AD78A7">
            <w:pPr>
              <w:pStyle w:val="TableText"/>
            </w:pPr>
            <w:r>
              <w:t>Archetype</w:t>
            </w:r>
          </w:p>
        </w:tc>
        <w:tc>
          <w:tcPr>
            <w:tcW w:w="3627" w:type="pct"/>
            <w:vAlign w:val="center"/>
          </w:tcPr>
          <w:p w14:paraId="6AA56B05" w14:textId="77777777" w:rsidR="00773A41" w:rsidRPr="00B476EC" w:rsidRDefault="00773A41" w:rsidP="00AD78A7">
            <w:pPr>
              <w:pStyle w:val="TableText"/>
            </w:pPr>
            <w:r>
              <w:rPr>
                <w:rFonts w:cs="Arial"/>
                <w:color w:val="000000"/>
                <w:sz w:val="20"/>
                <w:szCs w:val="20"/>
                <w:shd w:val="clear" w:color="auto" w:fill="FFFFFF"/>
              </w:rPr>
              <w:t>A formal re-usable model of a domain concept.</w:t>
            </w:r>
          </w:p>
        </w:tc>
      </w:tr>
      <w:tr w:rsidR="00773A41" w:rsidRPr="00B476EC" w14:paraId="53160378" w14:textId="77777777" w:rsidTr="00190190">
        <w:tc>
          <w:tcPr>
            <w:tcW w:w="1373" w:type="pct"/>
            <w:vAlign w:val="center"/>
          </w:tcPr>
          <w:p w14:paraId="2641E478" w14:textId="77777777" w:rsidR="00773A41" w:rsidRPr="00B476EC" w:rsidRDefault="00773A41" w:rsidP="00AD78A7">
            <w:pPr>
              <w:pStyle w:val="TableText"/>
            </w:pPr>
            <w:proofErr w:type="spellStart"/>
            <w:r>
              <w:t>dm+d</w:t>
            </w:r>
            <w:proofErr w:type="spellEnd"/>
          </w:p>
        </w:tc>
        <w:tc>
          <w:tcPr>
            <w:tcW w:w="3627" w:type="pct"/>
            <w:vAlign w:val="center"/>
          </w:tcPr>
          <w:p w14:paraId="48E6A35D" w14:textId="77777777" w:rsidR="00773A41" w:rsidRPr="00B476EC" w:rsidRDefault="00773A41" w:rsidP="00AD78A7">
            <w:pPr>
              <w:pStyle w:val="TableText"/>
            </w:pPr>
            <w:r>
              <w:rPr>
                <w:rFonts w:cs="Arial"/>
                <w:color w:val="000000"/>
                <w:sz w:val="20"/>
                <w:szCs w:val="20"/>
                <w:shd w:val="clear" w:color="auto" w:fill="FFFFFF"/>
              </w:rPr>
              <w:t>Dictionary of medications and devices is a UK terminology system published by TRUD.</w:t>
            </w:r>
          </w:p>
        </w:tc>
      </w:tr>
      <w:tr w:rsidR="00773A41" w:rsidRPr="00B476EC" w14:paraId="274C266F" w14:textId="77777777" w:rsidTr="00190190">
        <w:tc>
          <w:tcPr>
            <w:tcW w:w="1373" w:type="pct"/>
            <w:vAlign w:val="center"/>
          </w:tcPr>
          <w:p w14:paraId="0E9006E3" w14:textId="77777777" w:rsidR="00773A41" w:rsidRPr="00B476EC" w:rsidRDefault="00773A41" w:rsidP="00AD78A7">
            <w:pPr>
              <w:pStyle w:val="TableText"/>
            </w:pPr>
            <w:r>
              <w:t>FHIR</w:t>
            </w:r>
          </w:p>
        </w:tc>
        <w:tc>
          <w:tcPr>
            <w:tcW w:w="3627" w:type="pct"/>
            <w:vAlign w:val="center"/>
          </w:tcPr>
          <w:p w14:paraId="4664E258" w14:textId="77777777" w:rsidR="00773A41" w:rsidRPr="00B476EC" w:rsidRDefault="00773A41" w:rsidP="00AD78A7">
            <w:pPr>
              <w:pStyle w:val="TableText"/>
            </w:pPr>
            <w:r>
              <w:rPr>
                <w:rFonts w:cs="Arial"/>
                <w:color w:val="000000"/>
                <w:sz w:val="20"/>
                <w:szCs w:val="20"/>
                <w:shd w:val="clear" w:color="auto" w:fill="FFFFFF"/>
              </w:rPr>
              <w:t>Fast Healthcare Interoperable Resources is a healthcare interoperability standard supported by HL7.</w:t>
            </w:r>
          </w:p>
        </w:tc>
      </w:tr>
      <w:tr w:rsidR="00773A41" w:rsidRPr="00B476EC" w14:paraId="41AF9DBD" w14:textId="77777777" w:rsidTr="00190190">
        <w:tc>
          <w:tcPr>
            <w:tcW w:w="1373" w:type="pct"/>
            <w:tcBorders>
              <w:top w:val="single" w:sz="2" w:space="0" w:color="000000"/>
            </w:tcBorders>
            <w:vAlign w:val="center"/>
          </w:tcPr>
          <w:p w14:paraId="2F6B2959" w14:textId="77777777" w:rsidR="00773A41" w:rsidRPr="00B476EC" w:rsidRDefault="00773A41" w:rsidP="00AD78A7">
            <w:pPr>
              <w:pStyle w:val="TableText"/>
            </w:pPr>
            <w:r>
              <w:t>GP2GP</w:t>
            </w:r>
          </w:p>
        </w:tc>
        <w:tc>
          <w:tcPr>
            <w:tcW w:w="3627" w:type="pct"/>
            <w:tcBorders>
              <w:top w:val="single" w:sz="2" w:space="0" w:color="000000"/>
            </w:tcBorders>
            <w:vAlign w:val="center"/>
          </w:tcPr>
          <w:p w14:paraId="3D1DF793" w14:textId="77777777" w:rsidR="00773A41" w:rsidRPr="00B476EC" w:rsidRDefault="00773A41" w:rsidP="00AD78A7">
            <w:pPr>
              <w:pStyle w:val="TableText"/>
            </w:pPr>
            <w:r>
              <w:t>Electronic transfer of a patient’s electronic health record between two general practices.</w:t>
            </w:r>
          </w:p>
        </w:tc>
      </w:tr>
      <w:tr w:rsidR="00773A41" w:rsidRPr="00B476EC" w14:paraId="41BBFCDE" w14:textId="77777777" w:rsidTr="00190190">
        <w:tc>
          <w:tcPr>
            <w:tcW w:w="1373" w:type="pct"/>
            <w:vAlign w:val="center"/>
          </w:tcPr>
          <w:p w14:paraId="0943459D" w14:textId="77777777" w:rsidR="00773A41" w:rsidRPr="00B476EC" w:rsidRDefault="00773A41" w:rsidP="00AD78A7">
            <w:pPr>
              <w:pStyle w:val="TableText"/>
            </w:pPr>
            <w:proofErr w:type="spellStart"/>
            <w:r>
              <w:t>GPSoC</w:t>
            </w:r>
            <w:proofErr w:type="spellEnd"/>
          </w:p>
        </w:tc>
        <w:tc>
          <w:tcPr>
            <w:tcW w:w="3627" w:type="pct"/>
            <w:vAlign w:val="center"/>
          </w:tcPr>
          <w:p w14:paraId="74D2455D" w14:textId="77777777" w:rsidR="00773A41" w:rsidRPr="00B476EC" w:rsidRDefault="00773A41" w:rsidP="00AD78A7">
            <w:pPr>
              <w:pStyle w:val="TableText"/>
            </w:pPr>
            <w:r>
              <w:t>General Practice Systems of Choice framework</w:t>
            </w:r>
          </w:p>
        </w:tc>
      </w:tr>
      <w:tr w:rsidR="00773A41" w:rsidRPr="00B476EC" w14:paraId="76C0AD63" w14:textId="77777777" w:rsidTr="00190190">
        <w:tc>
          <w:tcPr>
            <w:tcW w:w="1373" w:type="pct"/>
            <w:vAlign w:val="center"/>
          </w:tcPr>
          <w:p w14:paraId="63E0A2B1" w14:textId="77777777" w:rsidR="00773A41" w:rsidRPr="00B476EC" w:rsidRDefault="00773A41" w:rsidP="00AD78A7">
            <w:pPr>
              <w:pStyle w:val="TableText"/>
            </w:pPr>
            <w:r>
              <w:t>SNOMED-CT</w:t>
            </w:r>
          </w:p>
        </w:tc>
        <w:tc>
          <w:tcPr>
            <w:tcW w:w="3627" w:type="pct"/>
            <w:vAlign w:val="center"/>
          </w:tcPr>
          <w:p w14:paraId="3BCE5C88" w14:textId="3332B496" w:rsidR="00773A41" w:rsidRPr="00B476EC" w:rsidRDefault="00773A41" w:rsidP="00AD78A7">
            <w:pPr>
              <w:pStyle w:val="TableText"/>
            </w:pPr>
            <w:r w:rsidRPr="00347EAE">
              <w:rPr>
                <w:b/>
                <w:bCs/>
              </w:rPr>
              <w:t>S</w:t>
            </w:r>
            <w:r w:rsidRPr="00347EAE">
              <w:t>ystematized</w:t>
            </w:r>
            <w:r>
              <w:t xml:space="preserve"> </w:t>
            </w:r>
            <w:r w:rsidRPr="00347EAE">
              <w:rPr>
                <w:b/>
                <w:bCs/>
              </w:rPr>
              <w:t>No</w:t>
            </w:r>
            <w:r w:rsidRPr="00347EAE">
              <w:t>menclature Of</w:t>
            </w:r>
            <w:r>
              <w:t xml:space="preserve"> </w:t>
            </w:r>
            <w:r w:rsidRPr="00347EAE">
              <w:rPr>
                <w:b/>
                <w:bCs/>
              </w:rPr>
              <w:t>Med</w:t>
            </w:r>
            <w:r w:rsidRPr="00347EAE">
              <w:t>icine</w:t>
            </w:r>
            <w:r>
              <w:t xml:space="preserve"> </w:t>
            </w:r>
            <w:r w:rsidRPr="00347EAE">
              <w:rPr>
                <w:b/>
                <w:bCs/>
              </w:rPr>
              <w:t>C</w:t>
            </w:r>
            <w:r w:rsidRPr="00347EAE">
              <w:t>linical</w:t>
            </w:r>
            <w:r>
              <w:t xml:space="preserve"> </w:t>
            </w:r>
            <w:r w:rsidRPr="00347EAE">
              <w:rPr>
                <w:b/>
                <w:bCs/>
              </w:rPr>
              <w:t>T</w:t>
            </w:r>
            <w:r w:rsidRPr="00347EAE">
              <w:t>erms is a systematically organised computer processable collection of</w:t>
            </w:r>
            <w:r>
              <w:t xml:space="preserve"> </w:t>
            </w:r>
            <w:hyperlink r:id="rId18" w:tooltip="Medical terms" w:history="1">
              <w:r w:rsidRPr="00B715AA">
                <w:rPr>
                  <w:rStyle w:val="Hyperlink"/>
                  <w:u w:val="single"/>
                </w:rPr>
                <w:t>medical terms</w:t>
              </w:r>
            </w:hyperlink>
            <w:r>
              <w:rPr>
                <w:rStyle w:val="Hyperlink"/>
              </w:rPr>
              <w:t xml:space="preserve"> </w:t>
            </w:r>
            <w:r w:rsidRPr="00347EAE">
              <w:t>providing codes, terms, synonyms and definitions used in clinical documentation and reporting.</w:t>
            </w:r>
          </w:p>
        </w:tc>
      </w:tr>
      <w:tr w:rsidR="00773A41" w:rsidRPr="00B476EC" w14:paraId="05F86876" w14:textId="77777777" w:rsidTr="00190190">
        <w:tc>
          <w:tcPr>
            <w:tcW w:w="1373" w:type="pct"/>
            <w:vAlign w:val="center"/>
          </w:tcPr>
          <w:p w14:paraId="58C8A2F4" w14:textId="77777777" w:rsidR="00773A41" w:rsidRPr="00B476EC" w:rsidRDefault="00773A41" w:rsidP="00AD78A7">
            <w:pPr>
              <w:pStyle w:val="TableText"/>
            </w:pPr>
            <w:r>
              <w:t>TRUD</w:t>
            </w:r>
          </w:p>
        </w:tc>
        <w:tc>
          <w:tcPr>
            <w:tcW w:w="3627" w:type="pct"/>
            <w:vAlign w:val="center"/>
          </w:tcPr>
          <w:p w14:paraId="24204B60" w14:textId="77777777" w:rsidR="00773A41" w:rsidRPr="00B476EC" w:rsidRDefault="00773A41" w:rsidP="00AD78A7">
            <w:pPr>
              <w:pStyle w:val="TableText"/>
            </w:pPr>
            <w:r w:rsidRPr="007F0512">
              <w:rPr>
                <w:rFonts w:cs="Arial"/>
                <w:color w:val="000000"/>
                <w:sz w:val="20"/>
                <w:szCs w:val="20"/>
                <w:shd w:val="clear" w:color="auto" w:fill="FFFFFF"/>
              </w:rPr>
              <w:t>Technology Reference data Update Distribution</w:t>
            </w:r>
            <w:r>
              <w:rPr>
                <w:rFonts w:cs="Arial"/>
                <w:color w:val="000000"/>
                <w:sz w:val="20"/>
                <w:szCs w:val="20"/>
                <w:shd w:val="clear" w:color="auto" w:fill="FFFFFF"/>
              </w:rPr>
              <w:t xml:space="preserve"> is a service provided by the UK terminology centre at NHS Digital to provide updates to terminology.</w:t>
            </w:r>
          </w:p>
        </w:tc>
      </w:tr>
      <w:tr w:rsidR="00773A41" w:rsidRPr="00B476EC" w14:paraId="50E71A10" w14:textId="77777777" w:rsidTr="00190190">
        <w:tc>
          <w:tcPr>
            <w:tcW w:w="1373" w:type="pct"/>
            <w:vAlign w:val="center"/>
          </w:tcPr>
          <w:p w14:paraId="25CC2E64" w14:textId="77777777" w:rsidR="00773A41" w:rsidRPr="00B476EC" w:rsidRDefault="00773A41" w:rsidP="00AD78A7">
            <w:pPr>
              <w:pStyle w:val="TableText"/>
            </w:pPr>
            <w:r>
              <w:t>VMP</w:t>
            </w:r>
          </w:p>
        </w:tc>
        <w:tc>
          <w:tcPr>
            <w:tcW w:w="3627" w:type="pct"/>
            <w:vAlign w:val="center"/>
          </w:tcPr>
          <w:p w14:paraId="251C7CA9" w14:textId="77777777" w:rsidR="00773A41" w:rsidRPr="00B476EC" w:rsidRDefault="00773A41" w:rsidP="00AD78A7">
            <w:pPr>
              <w:pStyle w:val="TableText"/>
            </w:pPr>
            <w:r>
              <w:rPr>
                <w:rFonts w:cs="Arial"/>
                <w:color w:val="000000"/>
                <w:sz w:val="20"/>
                <w:szCs w:val="20"/>
                <w:shd w:val="clear" w:color="auto" w:fill="FFFFFF"/>
              </w:rPr>
              <w:t>Virtual Medicinal Product</w:t>
            </w:r>
          </w:p>
        </w:tc>
      </w:tr>
      <w:tr w:rsidR="00773A41" w:rsidRPr="00B476EC" w14:paraId="2FD9E56C" w14:textId="77777777" w:rsidTr="00190190">
        <w:tc>
          <w:tcPr>
            <w:tcW w:w="1373" w:type="pct"/>
            <w:vAlign w:val="center"/>
          </w:tcPr>
          <w:p w14:paraId="4CDFBA45" w14:textId="77777777" w:rsidR="00773A41" w:rsidRPr="00B476EC" w:rsidRDefault="00773A41" w:rsidP="00AD78A7">
            <w:pPr>
              <w:pStyle w:val="TableText"/>
            </w:pPr>
            <w:r>
              <w:t>VTM</w:t>
            </w:r>
          </w:p>
        </w:tc>
        <w:tc>
          <w:tcPr>
            <w:tcW w:w="3627" w:type="pct"/>
            <w:vAlign w:val="center"/>
          </w:tcPr>
          <w:p w14:paraId="3DF9B678" w14:textId="77777777" w:rsidR="00773A41" w:rsidRPr="00B476EC" w:rsidRDefault="00773A41" w:rsidP="00AD78A7">
            <w:pPr>
              <w:pStyle w:val="TableText"/>
            </w:pPr>
            <w:r>
              <w:rPr>
                <w:rFonts w:cs="Arial"/>
                <w:color w:val="000000"/>
                <w:sz w:val="20"/>
                <w:szCs w:val="20"/>
                <w:shd w:val="clear" w:color="auto" w:fill="FFFFFF"/>
              </w:rPr>
              <w:t>Virtual Therapeutic Moiety</w:t>
            </w:r>
          </w:p>
        </w:tc>
      </w:tr>
    </w:tbl>
    <w:p w14:paraId="4E9E9F80" w14:textId="77777777" w:rsidR="00111B55" w:rsidRDefault="00111B55" w:rsidP="00111B55"/>
    <w:p w14:paraId="3659D142" w14:textId="77777777" w:rsidR="00111B55" w:rsidRDefault="00111B55" w:rsidP="00111B55">
      <w:pPr>
        <w:pStyle w:val="DocMgmtSubhead"/>
      </w:pPr>
      <w:r>
        <w:t>References</w:t>
      </w:r>
    </w:p>
    <w:tbl>
      <w:tblPr>
        <w:tblW w:w="5000" w:type="pct"/>
        <w:tblBorders>
          <w:top w:val="single" w:sz="2" w:space="0" w:color="B9B9B9"/>
          <w:bottom w:val="single" w:sz="2" w:space="0" w:color="B9B9B9"/>
          <w:insideH w:val="single" w:sz="2" w:space="0" w:color="B9B9B9"/>
        </w:tblBorders>
        <w:tblLook w:val="04A0" w:firstRow="1" w:lastRow="0" w:firstColumn="1" w:lastColumn="0" w:noHBand="0" w:noVBand="1"/>
      </w:tblPr>
      <w:tblGrid>
        <w:gridCol w:w="1570"/>
        <w:gridCol w:w="5518"/>
        <w:gridCol w:w="2776"/>
      </w:tblGrid>
      <w:tr w:rsidR="00111B55" w14:paraId="6A75C7E0" w14:textId="77777777" w:rsidTr="00111B55">
        <w:trPr>
          <w:tblHeader/>
        </w:trPr>
        <w:tc>
          <w:tcPr>
            <w:tcW w:w="796" w:type="pct"/>
            <w:tcBorders>
              <w:top w:val="single" w:sz="2" w:space="0" w:color="000000"/>
              <w:left w:val="nil"/>
              <w:bottom w:val="single" w:sz="2" w:space="0" w:color="000000"/>
              <w:right w:val="nil"/>
            </w:tcBorders>
            <w:hideMark/>
          </w:tcPr>
          <w:p w14:paraId="2EBDB010" w14:textId="77777777" w:rsidR="00111B55" w:rsidRDefault="00111B55">
            <w:pPr>
              <w:pStyle w:val="TableHeader"/>
              <w:rPr>
                <w:lang w:val="en-GB"/>
              </w:rPr>
            </w:pPr>
            <w:r>
              <w:rPr>
                <w:lang w:val="en-GB"/>
              </w:rPr>
              <w:t>Document No.</w:t>
            </w:r>
          </w:p>
        </w:tc>
        <w:tc>
          <w:tcPr>
            <w:tcW w:w="2797" w:type="pct"/>
            <w:tcBorders>
              <w:top w:val="single" w:sz="2" w:space="0" w:color="000000"/>
              <w:left w:val="nil"/>
              <w:bottom w:val="single" w:sz="2" w:space="0" w:color="000000"/>
              <w:right w:val="nil"/>
            </w:tcBorders>
            <w:hideMark/>
          </w:tcPr>
          <w:p w14:paraId="3E181C8C" w14:textId="77777777" w:rsidR="00111B55" w:rsidRDefault="00111B55">
            <w:pPr>
              <w:pStyle w:val="TableHeader"/>
              <w:rPr>
                <w:lang w:val="en-GB"/>
              </w:rPr>
            </w:pPr>
            <w:r>
              <w:rPr>
                <w:lang w:val="en-GB"/>
              </w:rPr>
              <w:t>Document title</w:t>
            </w:r>
          </w:p>
        </w:tc>
        <w:tc>
          <w:tcPr>
            <w:tcW w:w="1407" w:type="pct"/>
            <w:tcBorders>
              <w:top w:val="single" w:sz="2" w:space="0" w:color="000000"/>
              <w:left w:val="nil"/>
              <w:bottom w:val="single" w:sz="2" w:space="0" w:color="000000"/>
              <w:right w:val="nil"/>
            </w:tcBorders>
            <w:hideMark/>
          </w:tcPr>
          <w:p w14:paraId="3E0BEC51" w14:textId="77777777" w:rsidR="00111B55" w:rsidRDefault="00111B55">
            <w:pPr>
              <w:pStyle w:val="TableHeader"/>
              <w:rPr>
                <w:lang w:val="en-GB"/>
              </w:rPr>
            </w:pPr>
            <w:r>
              <w:rPr>
                <w:lang w:val="en-GB"/>
              </w:rPr>
              <w:t>Author</w:t>
            </w:r>
          </w:p>
        </w:tc>
      </w:tr>
      <w:tr w:rsidR="00D83004" w14:paraId="1EFEF82C" w14:textId="77777777" w:rsidTr="00D83004">
        <w:tc>
          <w:tcPr>
            <w:tcW w:w="796" w:type="pct"/>
            <w:tcBorders>
              <w:top w:val="single" w:sz="2" w:space="0" w:color="000000"/>
              <w:left w:val="nil"/>
              <w:bottom w:val="single" w:sz="2" w:space="0" w:color="B9B9B9"/>
              <w:right w:val="nil"/>
            </w:tcBorders>
            <w:vAlign w:val="center"/>
          </w:tcPr>
          <w:p w14:paraId="4381BE28" w14:textId="02F44A7D" w:rsidR="00D83004" w:rsidRDefault="00D83004" w:rsidP="00D83004">
            <w:pPr>
              <w:pStyle w:val="TableText"/>
            </w:pPr>
            <w:r>
              <w:t>AA2</w:t>
            </w:r>
          </w:p>
        </w:tc>
        <w:tc>
          <w:tcPr>
            <w:tcW w:w="2797" w:type="pct"/>
            <w:tcBorders>
              <w:top w:val="single" w:sz="2" w:space="0" w:color="000000"/>
              <w:left w:val="nil"/>
              <w:bottom w:val="single" w:sz="2" w:space="0" w:color="B9B9B9"/>
              <w:right w:val="nil"/>
            </w:tcBorders>
            <w:vAlign w:val="center"/>
          </w:tcPr>
          <w:p w14:paraId="6368DFF1" w14:textId="70DA5A53" w:rsidR="00D83004" w:rsidRDefault="00D83004" w:rsidP="00D83004">
            <w:pPr>
              <w:pStyle w:val="TableText"/>
            </w:pPr>
            <w:r>
              <w:rPr>
                <w:rFonts w:cs="Arial"/>
                <w:color w:val="000000"/>
                <w:sz w:val="20"/>
                <w:szCs w:val="20"/>
                <w:shd w:val="clear" w:color="auto" w:fill="FFFFFF"/>
              </w:rPr>
              <w:t>Implementing the Allergy Archetype in the GP2GP Message</w:t>
            </w:r>
          </w:p>
        </w:tc>
        <w:tc>
          <w:tcPr>
            <w:tcW w:w="1407" w:type="pct"/>
            <w:tcBorders>
              <w:top w:val="single" w:sz="2" w:space="0" w:color="000000"/>
              <w:left w:val="nil"/>
              <w:bottom w:val="single" w:sz="2" w:space="0" w:color="B9B9B9"/>
              <w:right w:val="nil"/>
            </w:tcBorders>
          </w:tcPr>
          <w:p w14:paraId="49641178" w14:textId="03C815D9" w:rsidR="00D83004" w:rsidRDefault="00D83004" w:rsidP="00D83004">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111B55" w14:paraId="69CCB2C4" w14:textId="77777777" w:rsidTr="00111B55">
        <w:tc>
          <w:tcPr>
            <w:tcW w:w="796" w:type="pct"/>
            <w:tcBorders>
              <w:top w:val="single" w:sz="2" w:space="0" w:color="B9B9B9"/>
              <w:left w:val="nil"/>
              <w:bottom w:val="single" w:sz="2" w:space="0" w:color="B9B9B9"/>
              <w:right w:val="nil"/>
            </w:tcBorders>
            <w:vAlign w:val="center"/>
            <w:hideMark/>
          </w:tcPr>
          <w:p w14:paraId="36835FB7" w14:textId="6750B58F" w:rsidR="00111B55" w:rsidRDefault="00111B55">
            <w:pPr>
              <w:pStyle w:val="TableText"/>
            </w:pPr>
            <w:r>
              <w:t>AA</w:t>
            </w:r>
            <w:r w:rsidR="00D83004">
              <w:t>3</w:t>
            </w:r>
          </w:p>
        </w:tc>
        <w:tc>
          <w:tcPr>
            <w:tcW w:w="2797" w:type="pct"/>
            <w:tcBorders>
              <w:top w:val="single" w:sz="2" w:space="0" w:color="B9B9B9"/>
              <w:left w:val="nil"/>
              <w:bottom w:val="single" w:sz="2" w:space="0" w:color="B9B9B9"/>
              <w:right w:val="nil"/>
            </w:tcBorders>
            <w:vAlign w:val="center"/>
            <w:hideMark/>
          </w:tcPr>
          <w:p w14:paraId="68FBBE01" w14:textId="35182092" w:rsidR="00111B55" w:rsidRDefault="00111B55">
            <w:pPr>
              <w:pStyle w:val="TableText"/>
            </w:pPr>
            <w:r>
              <w:rPr>
                <w:rFonts w:cs="Arial"/>
                <w:color w:val="000000"/>
                <w:sz w:val="20"/>
                <w:szCs w:val="20"/>
                <w:shd w:val="clear" w:color="auto" w:fill="FFFFFF"/>
              </w:rPr>
              <w:t xml:space="preserve">Implementing the Allergy Archetype </w:t>
            </w:r>
            <w:r w:rsidR="00D83004">
              <w:rPr>
                <w:rFonts w:cs="Arial"/>
                <w:color w:val="000000"/>
                <w:sz w:val="20"/>
                <w:szCs w:val="20"/>
                <w:shd w:val="clear" w:color="auto" w:fill="FFFFFF"/>
              </w:rPr>
              <w:t>FHIR</w:t>
            </w:r>
          </w:p>
        </w:tc>
        <w:tc>
          <w:tcPr>
            <w:tcW w:w="1407" w:type="pct"/>
            <w:tcBorders>
              <w:top w:val="single" w:sz="2" w:space="0" w:color="B9B9B9"/>
              <w:left w:val="nil"/>
              <w:bottom w:val="single" w:sz="2" w:space="0" w:color="B9B9B9"/>
              <w:right w:val="nil"/>
            </w:tcBorders>
            <w:hideMark/>
          </w:tcPr>
          <w:p w14:paraId="1CB513FE" w14:textId="77777777" w:rsidR="00111B55" w:rsidRDefault="00111B55">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r w:rsidR="005069DF" w14:paraId="5658F9EE" w14:textId="77777777" w:rsidTr="00111B55">
        <w:tc>
          <w:tcPr>
            <w:tcW w:w="796" w:type="pct"/>
            <w:tcBorders>
              <w:top w:val="single" w:sz="2" w:space="0" w:color="B9B9B9"/>
              <w:left w:val="nil"/>
              <w:bottom w:val="single" w:sz="2" w:space="0" w:color="B9B9B9"/>
              <w:right w:val="nil"/>
            </w:tcBorders>
            <w:vAlign w:val="center"/>
          </w:tcPr>
          <w:p w14:paraId="6CF2EB95" w14:textId="29DDC4C7" w:rsidR="005069DF" w:rsidRDefault="005069DF" w:rsidP="005069DF">
            <w:pPr>
              <w:pStyle w:val="TableText"/>
            </w:pPr>
            <w:r>
              <w:t>AA4</w:t>
            </w:r>
          </w:p>
        </w:tc>
        <w:tc>
          <w:tcPr>
            <w:tcW w:w="2797" w:type="pct"/>
            <w:tcBorders>
              <w:top w:val="single" w:sz="2" w:space="0" w:color="B9B9B9"/>
              <w:left w:val="nil"/>
              <w:bottom w:val="single" w:sz="2" w:space="0" w:color="B9B9B9"/>
              <w:right w:val="nil"/>
            </w:tcBorders>
            <w:vAlign w:val="center"/>
          </w:tcPr>
          <w:p w14:paraId="3E449FED" w14:textId="1C5E85FE" w:rsidR="005069DF" w:rsidRDefault="00935B95" w:rsidP="005069DF">
            <w:pPr>
              <w:pStyle w:val="TableText"/>
              <w:rPr>
                <w:rFonts w:cs="Arial"/>
                <w:color w:val="000000"/>
                <w:sz w:val="20"/>
                <w:szCs w:val="20"/>
                <w:shd w:val="clear" w:color="auto" w:fill="FFFFFF"/>
              </w:rPr>
            </w:pPr>
            <w:proofErr w:type="spellStart"/>
            <w:r w:rsidRPr="00F42EDD">
              <w:rPr>
                <w:sz w:val="20"/>
                <w:szCs w:val="20"/>
              </w:rPr>
              <w:t>GPSoC</w:t>
            </w:r>
            <w:proofErr w:type="spellEnd"/>
            <w:r w:rsidRPr="00F42EDD">
              <w:rPr>
                <w:sz w:val="20"/>
                <w:szCs w:val="20"/>
              </w:rPr>
              <w:t xml:space="preserve"> Allergy Archetype - GP Connect Allergy Guidance</w:t>
            </w:r>
          </w:p>
        </w:tc>
        <w:tc>
          <w:tcPr>
            <w:tcW w:w="1407" w:type="pct"/>
            <w:tcBorders>
              <w:top w:val="single" w:sz="2" w:space="0" w:color="B9B9B9"/>
              <w:left w:val="nil"/>
              <w:bottom w:val="single" w:sz="2" w:space="0" w:color="B9B9B9"/>
              <w:right w:val="nil"/>
            </w:tcBorders>
          </w:tcPr>
          <w:p w14:paraId="69B8170B" w14:textId="3756E31D" w:rsidR="005069DF" w:rsidRDefault="005069DF" w:rsidP="005069DF">
            <w:pPr>
              <w:pStyle w:val="TableText"/>
              <w:rPr>
                <w:rFonts w:cs="Arial"/>
                <w:color w:val="000000"/>
                <w:sz w:val="20"/>
                <w:szCs w:val="20"/>
                <w:shd w:val="clear" w:color="auto" w:fill="FFFFFF"/>
              </w:rPr>
            </w:pPr>
            <w:r>
              <w:rPr>
                <w:rFonts w:cs="Arial"/>
                <w:color w:val="000000"/>
                <w:sz w:val="20"/>
                <w:szCs w:val="20"/>
                <w:shd w:val="clear" w:color="auto" w:fill="FFFFFF"/>
              </w:rPr>
              <w:t>Pete Salisbury</w:t>
            </w:r>
          </w:p>
        </w:tc>
      </w:tr>
    </w:tbl>
    <w:p w14:paraId="0578A00E" w14:textId="77777777" w:rsidR="00111B55" w:rsidRPr="00B476EC" w:rsidRDefault="00111B55"/>
    <w:p w14:paraId="622732DD" w14:textId="77777777" w:rsidR="001D343E" w:rsidRPr="00B476EC" w:rsidRDefault="001D343E" w:rsidP="001D343E">
      <w:pPr>
        <w:pStyle w:val="NormalBold"/>
      </w:pPr>
      <w:r w:rsidRPr="00B476EC">
        <w:t>Document Control:</w:t>
      </w:r>
    </w:p>
    <w:p w14:paraId="14D73F20"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209D6540" w14:textId="77777777" w:rsidR="00F82976" w:rsidRPr="00B476EC" w:rsidRDefault="00F82976">
      <w:pPr>
        <w:spacing w:after="0"/>
        <w:textboxTightWrap w:val="none"/>
      </w:pPr>
      <w:r w:rsidRPr="00B476EC">
        <w:br w:type="page"/>
      </w:r>
    </w:p>
    <w:p w14:paraId="51420BAF" w14:textId="77777777" w:rsidR="000C07B8" w:rsidRPr="00B476EC" w:rsidRDefault="000C07B8" w:rsidP="0032477B">
      <w:pPr>
        <w:pStyle w:val="Docmgmtheading"/>
      </w:pPr>
      <w:r w:rsidRPr="00B476EC">
        <w:lastRenderedPageBreak/>
        <w:t>C</w:t>
      </w:r>
      <w:r w:rsidR="00AF0245" w:rsidRPr="00B476EC">
        <w:t>ontents</w:t>
      </w:r>
    </w:p>
    <w:p w14:paraId="5A84DA35" w14:textId="7836FFEC" w:rsidR="003E7D2D" w:rsidRDefault="00BC0B63">
      <w:pPr>
        <w:pStyle w:val="TOC1"/>
        <w:tabs>
          <w:tab w:val="left" w:pos="66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25901749" w:history="1">
        <w:r w:rsidR="003E7D2D" w:rsidRPr="005C2E65">
          <w:rPr>
            <w:rStyle w:val="Hyperlink"/>
          </w:rPr>
          <w:t>1.</w:t>
        </w:r>
        <w:r w:rsidR="003E7D2D">
          <w:rPr>
            <w:rFonts w:asciiTheme="minorHAnsi" w:eastAsiaTheme="minorEastAsia" w:hAnsiTheme="minorHAnsi" w:cstheme="minorBidi"/>
            <w:b w:val="0"/>
            <w:color w:val="auto"/>
            <w:sz w:val="22"/>
            <w:szCs w:val="22"/>
            <w:lang w:eastAsia="en-GB"/>
          </w:rPr>
          <w:tab/>
        </w:r>
        <w:r w:rsidR="003E7D2D" w:rsidRPr="005C2E65">
          <w:rPr>
            <w:rStyle w:val="Hyperlink"/>
          </w:rPr>
          <w:t>Introduction</w:t>
        </w:r>
        <w:r w:rsidR="003E7D2D">
          <w:rPr>
            <w:webHidden/>
          </w:rPr>
          <w:tab/>
        </w:r>
        <w:r w:rsidR="003E7D2D">
          <w:rPr>
            <w:webHidden/>
          </w:rPr>
          <w:fldChar w:fldCharType="begin"/>
        </w:r>
        <w:r w:rsidR="003E7D2D">
          <w:rPr>
            <w:webHidden/>
          </w:rPr>
          <w:instrText xml:space="preserve"> PAGEREF _Toc525901749 \h </w:instrText>
        </w:r>
        <w:r w:rsidR="003E7D2D">
          <w:rPr>
            <w:webHidden/>
          </w:rPr>
        </w:r>
        <w:r w:rsidR="003E7D2D">
          <w:rPr>
            <w:webHidden/>
          </w:rPr>
          <w:fldChar w:fldCharType="separate"/>
        </w:r>
        <w:r w:rsidR="003E7D2D">
          <w:rPr>
            <w:webHidden/>
          </w:rPr>
          <w:t>5</w:t>
        </w:r>
        <w:r w:rsidR="003E7D2D">
          <w:rPr>
            <w:webHidden/>
          </w:rPr>
          <w:fldChar w:fldCharType="end"/>
        </w:r>
      </w:hyperlink>
    </w:p>
    <w:p w14:paraId="35B3F813" w14:textId="28A288DB" w:rsidR="003E7D2D" w:rsidRDefault="00AC2999">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1750" w:history="1">
        <w:r w:rsidR="003E7D2D" w:rsidRPr="005C2E65">
          <w:rPr>
            <w:rStyle w:val="Hyperlink"/>
            <w:noProof/>
          </w:rPr>
          <w:t>1.1.</w:t>
        </w:r>
        <w:r w:rsidR="003E7D2D">
          <w:rPr>
            <w:rFonts w:asciiTheme="minorHAnsi" w:eastAsiaTheme="minorEastAsia" w:hAnsiTheme="minorHAnsi" w:cstheme="minorBidi"/>
            <w:noProof/>
            <w:color w:val="auto"/>
            <w:sz w:val="22"/>
            <w:szCs w:val="22"/>
            <w:lang w:eastAsia="en-GB"/>
          </w:rPr>
          <w:tab/>
        </w:r>
        <w:r w:rsidR="003E7D2D" w:rsidRPr="005C2E65">
          <w:rPr>
            <w:rStyle w:val="Hyperlink"/>
            <w:noProof/>
          </w:rPr>
          <w:t>Purpose of document</w:t>
        </w:r>
        <w:r w:rsidR="003E7D2D">
          <w:rPr>
            <w:noProof/>
            <w:webHidden/>
          </w:rPr>
          <w:tab/>
        </w:r>
        <w:r w:rsidR="003E7D2D">
          <w:rPr>
            <w:noProof/>
            <w:webHidden/>
          </w:rPr>
          <w:fldChar w:fldCharType="begin"/>
        </w:r>
        <w:r w:rsidR="003E7D2D">
          <w:rPr>
            <w:noProof/>
            <w:webHidden/>
          </w:rPr>
          <w:instrText xml:space="preserve"> PAGEREF _Toc525901750 \h </w:instrText>
        </w:r>
        <w:r w:rsidR="003E7D2D">
          <w:rPr>
            <w:noProof/>
            <w:webHidden/>
          </w:rPr>
        </w:r>
        <w:r w:rsidR="003E7D2D">
          <w:rPr>
            <w:noProof/>
            <w:webHidden/>
          </w:rPr>
          <w:fldChar w:fldCharType="separate"/>
        </w:r>
        <w:r w:rsidR="003E7D2D">
          <w:rPr>
            <w:noProof/>
            <w:webHidden/>
          </w:rPr>
          <w:t>5</w:t>
        </w:r>
        <w:r w:rsidR="003E7D2D">
          <w:rPr>
            <w:noProof/>
            <w:webHidden/>
          </w:rPr>
          <w:fldChar w:fldCharType="end"/>
        </w:r>
      </w:hyperlink>
    </w:p>
    <w:p w14:paraId="5440BC0E" w14:textId="62C6A910" w:rsidR="003E7D2D" w:rsidRDefault="00AC2999">
      <w:pPr>
        <w:pStyle w:val="TOC1"/>
        <w:tabs>
          <w:tab w:val="left" w:pos="660"/>
        </w:tabs>
        <w:rPr>
          <w:rFonts w:asciiTheme="minorHAnsi" w:eastAsiaTheme="minorEastAsia" w:hAnsiTheme="minorHAnsi" w:cstheme="minorBidi"/>
          <w:b w:val="0"/>
          <w:color w:val="auto"/>
          <w:sz w:val="22"/>
          <w:szCs w:val="22"/>
          <w:lang w:eastAsia="en-GB"/>
        </w:rPr>
      </w:pPr>
      <w:hyperlink w:anchor="_Toc525901751" w:history="1">
        <w:r w:rsidR="003E7D2D" w:rsidRPr="005C2E65">
          <w:rPr>
            <w:rStyle w:val="Hyperlink"/>
          </w:rPr>
          <w:t>2.</w:t>
        </w:r>
        <w:r w:rsidR="003E7D2D">
          <w:rPr>
            <w:rFonts w:asciiTheme="minorHAnsi" w:eastAsiaTheme="minorEastAsia" w:hAnsiTheme="minorHAnsi" w:cstheme="minorBidi"/>
            <w:b w:val="0"/>
            <w:color w:val="auto"/>
            <w:sz w:val="22"/>
            <w:szCs w:val="22"/>
            <w:lang w:eastAsia="en-GB"/>
          </w:rPr>
          <w:tab/>
        </w:r>
        <w:r w:rsidR="003E7D2D" w:rsidRPr="005C2E65">
          <w:rPr>
            <w:rStyle w:val="Hyperlink"/>
          </w:rPr>
          <w:t>Logical model</w:t>
        </w:r>
        <w:r w:rsidR="003E7D2D">
          <w:rPr>
            <w:webHidden/>
          </w:rPr>
          <w:tab/>
        </w:r>
        <w:r w:rsidR="003E7D2D">
          <w:rPr>
            <w:webHidden/>
          </w:rPr>
          <w:fldChar w:fldCharType="begin"/>
        </w:r>
        <w:r w:rsidR="003E7D2D">
          <w:rPr>
            <w:webHidden/>
          </w:rPr>
          <w:instrText xml:space="preserve"> PAGEREF _Toc525901751 \h </w:instrText>
        </w:r>
        <w:r w:rsidR="003E7D2D">
          <w:rPr>
            <w:webHidden/>
          </w:rPr>
        </w:r>
        <w:r w:rsidR="003E7D2D">
          <w:rPr>
            <w:webHidden/>
          </w:rPr>
          <w:fldChar w:fldCharType="separate"/>
        </w:r>
        <w:r w:rsidR="003E7D2D">
          <w:rPr>
            <w:webHidden/>
          </w:rPr>
          <w:t>5</w:t>
        </w:r>
        <w:r w:rsidR="003E7D2D">
          <w:rPr>
            <w:webHidden/>
          </w:rPr>
          <w:fldChar w:fldCharType="end"/>
        </w:r>
      </w:hyperlink>
    </w:p>
    <w:p w14:paraId="527B460B" w14:textId="3EE75360" w:rsidR="003E7D2D" w:rsidRDefault="00AC2999">
      <w:pPr>
        <w:pStyle w:val="TOC1"/>
        <w:tabs>
          <w:tab w:val="left" w:pos="660"/>
        </w:tabs>
        <w:rPr>
          <w:rFonts w:asciiTheme="minorHAnsi" w:eastAsiaTheme="minorEastAsia" w:hAnsiTheme="minorHAnsi" w:cstheme="minorBidi"/>
          <w:b w:val="0"/>
          <w:color w:val="auto"/>
          <w:sz w:val="22"/>
          <w:szCs w:val="22"/>
          <w:lang w:eastAsia="en-GB"/>
        </w:rPr>
      </w:pPr>
      <w:hyperlink w:anchor="_Toc525901752" w:history="1">
        <w:r w:rsidR="003E7D2D" w:rsidRPr="005C2E65">
          <w:rPr>
            <w:rStyle w:val="Hyperlink"/>
          </w:rPr>
          <w:t>3.</w:t>
        </w:r>
        <w:r w:rsidR="003E7D2D">
          <w:rPr>
            <w:rFonts w:asciiTheme="minorHAnsi" w:eastAsiaTheme="minorEastAsia" w:hAnsiTheme="minorHAnsi" w:cstheme="minorBidi"/>
            <w:b w:val="0"/>
            <w:color w:val="auto"/>
            <w:sz w:val="22"/>
            <w:szCs w:val="22"/>
            <w:lang w:eastAsia="en-GB"/>
          </w:rPr>
          <w:tab/>
        </w:r>
        <w:r w:rsidR="003E7D2D" w:rsidRPr="005C2E65">
          <w:rPr>
            <w:rStyle w:val="Hyperlink"/>
          </w:rPr>
          <w:t>Requirements</w:t>
        </w:r>
        <w:r w:rsidR="003E7D2D">
          <w:rPr>
            <w:webHidden/>
          </w:rPr>
          <w:tab/>
        </w:r>
        <w:r w:rsidR="003E7D2D">
          <w:rPr>
            <w:webHidden/>
          </w:rPr>
          <w:fldChar w:fldCharType="begin"/>
        </w:r>
        <w:r w:rsidR="003E7D2D">
          <w:rPr>
            <w:webHidden/>
          </w:rPr>
          <w:instrText xml:space="preserve"> PAGEREF _Toc525901752 \h </w:instrText>
        </w:r>
        <w:r w:rsidR="003E7D2D">
          <w:rPr>
            <w:webHidden/>
          </w:rPr>
        </w:r>
        <w:r w:rsidR="003E7D2D">
          <w:rPr>
            <w:webHidden/>
          </w:rPr>
          <w:fldChar w:fldCharType="separate"/>
        </w:r>
        <w:r w:rsidR="003E7D2D">
          <w:rPr>
            <w:webHidden/>
          </w:rPr>
          <w:t>7</w:t>
        </w:r>
        <w:r w:rsidR="003E7D2D">
          <w:rPr>
            <w:webHidden/>
          </w:rPr>
          <w:fldChar w:fldCharType="end"/>
        </w:r>
      </w:hyperlink>
    </w:p>
    <w:p w14:paraId="5E3AEF7B" w14:textId="079DDD79" w:rsidR="003E7D2D" w:rsidRDefault="00AC2999">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1753" w:history="1">
        <w:r w:rsidR="003E7D2D" w:rsidRPr="005C2E65">
          <w:rPr>
            <w:rStyle w:val="Hyperlink"/>
            <w:noProof/>
          </w:rPr>
          <w:t>3.1.</w:t>
        </w:r>
        <w:r w:rsidR="003E7D2D">
          <w:rPr>
            <w:rFonts w:asciiTheme="minorHAnsi" w:eastAsiaTheme="minorEastAsia" w:hAnsiTheme="minorHAnsi" w:cstheme="minorBidi"/>
            <w:noProof/>
            <w:color w:val="auto"/>
            <w:sz w:val="22"/>
            <w:szCs w:val="22"/>
            <w:lang w:eastAsia="en-GB"/>
          </w:rPr>
          <w:tab/>
        </w:r>
        <w:r w:rsidR="003E7D2D" w:rsidRPr="005C2E65">
          <w:rPr>
            <w:rStyle w:val="Hyperlink"/>
            <w:noProof/>
          </w:rPr>
          <w:t>Causative agent subset mapping</w:t>
        </w:r>
        <w:r w:rsidR="003E7D2D">
          <w:rPr>
            <w:noProof/>
            <w:webHidden/>
          </w:rPr>
          <w:tab/>
        </w:r>
        <w:r w:rsidR="003E7D2D">
          <w:rPr>
            <w:noProof/>
            <w:webHidden/>
          </w:rPr>
          <w:fldChar w:fldCharType="begin"/>
        </w:r>
        <w:r w:rsidR="003E7D2D">
          <w:rPr>
            <w:noProof/>
            <w:webHidden/>
          </w:rPr>
          <w:instrText xml:space="preserve"> PAGEREF _Toc525901753 \h </w:instrText>
        </w:r>
        <w:r w:rsidR="003E7D2D">
          <w:rPr>
            <w:noProof/>
            <w:webHidden/>
          </w:rPr>
        </w:r>
        <w:r w:rsidR="003E7D2D">
          <w:rPr>
            <w:noProof/>
            <w:webHidden/>
          </w:rPr>
          <w:fldChar w:fldCharType="separate"/>
        </w:r>
        <w:r w:rsidR="003E7D2D">
          <w:rPr>
            <w:noProof/>
            <w:webHidden/>
          </w:rPr>
          <w:t>7</w:t>
        </w:r>
        <w:r w:rsidR="003E7D2D">
          <w:rPr>
            <w:noProof/>
            <w:webHidden/>
          </w:rPr>
          <w:fldChar w:fldCharType="end"/>
        </w:r>
      </w:hyperlink>
    </w:p>
    <w:p w14:paraId="16023992" w14:textId="1591DC59" w:rsidR="003E7D2D" w:rsidRDefault="00AC2999">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1754" w:history="1">
        <w:r w:rsidR="003E7D2D" w:rsidRPr="005C2E65">
          <w:rPr>
            <w:rStyle w:val="Hyperlink"/>
            <w:noProof/>
          </w:rPr>
          <w:t>3.2.</w:t>
        </w:r>
        <w:r w:rsidR="003E7D2D">
          <w:rPr>
            <w:rFonts w:asciiTheme="minorHAnsi" w:eastAsiaTheme="minorEastAsia" w:hAnsiTheme="minorHAnsi" w:cstheme="minorBidi"/>
            <w:noProof/>
            <w:color w:val="auto"/>
            <w:sz w:val="22"/>
            <w:szCs w:val="22"/>
            <w:lang w:eastAsia="en-GB"/>
          </w:rPr>
          <w:tab/>
        </w:r>
        <w:r w:rsidR="003E7D2D" w:rsidRPr="005C2E65">
          <w:rPr>
            <w:rStyle w:val="Hyperlink"/>
            <w:noProof/>
          </w:rPr>
          <w:t>Decision support</w:t>
        </w:r>
        <w:r w:rsidR="003E7D2D">
          <w:rPr>
            <w:noProof/>
            <w:webHidden/>
          </w:rPr>
          <w:tab/>
        </w:r>
        <w:r w:rsidR="003E7D2D">
          <w:rPr>
            <w:noProof/>
            <w:webHidden/>
          </w:rPr>
          <w:fldChar w:fldCharType="begin"/>
        </w:r>
        <w:r w:rsidR="003E7D2D">
          <w:rPr>
            <w:noProof/>
            <w:webHidden/>
          </w:rPr>
          <w:instrText xml:space="preserve"> PAGEREF _Toc525901754 \h </w:instrText>
        </w:r>
        <w:r w:rsidR="003E7D2D">
          <w:rPr>
            <w:noProof/>
            <w:webHidden/>
          </w:rPr>
        </w:r>
        <w:r w:rsidR="003E7D2D">
          <w:rPr>
            <w:noProof/>
            <w:webHidden/>
          </w:rPr>
          <w:fldChar w:fldCharType="separate"/>
        </w:r>
        <w:r w:rsidR="003E7D2D">
          <w:rPr>
            <w:noProof/>
            <w:webHidden/>
          </w:rPr>
          <w:t>7</w:t>
        </w:r>
        <w:r w:rsidR="003E7D2D">
          <w:rPr>
            <w:noProof/>
            <w:webHidden/>
          </w:rPr>
          <w:fldChar w:fldCharType="end"/>
        </w:r>
      </w:hyperlink>
    </w:p>
    <w:p w14:paraId="6E67617D" w14:textId="6CD6E576" w:rsidR="003E7D2D" w:rsidRDefault="00AC2999">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5901755" w:history="1">
        <w:r w:rsidR="003E7D2D" w:rsidRPr="005C2E65">
          <w:rPr>
            <w:rStyle w:val="Hyperlink"/>
            <w:noProof/>
          </w:rPr>
          <w:t>3.3.</w:t>
        </w:r>
        <w:r w:rsidR="003E7D2D">
          <w:rPr>
            <w:rFonts w:asciiTheme="minorHAnsi" w:eastAsiaTheme="minorEastAsia" w:hAnsiTheme="minorHAnsi" w:cstheme="minorBidi"/>
            <w:noProof/>
            <w:color w:val="auto"/>
            <w:sz w:val="22"/>
            <w:szCs w:val="22"/>
            <w:lang w:eastAsia="en-GB"/>
          </w:rPr>
          <w:tab/>
        </w:r>
        <w:r w:rsidR="003E7D2D" w:rsidRPr="005C2E65">
          <w:rPr>
            <w:rStyle w:val="Hyperlink"/>
            <w:noProof/>
          </w:rPr>
          <w:t>Maintenance</w:t>
        </w:r>
        <w:r w:rsidR="003E7D2D">
          <w:rPr>
            <w:noProof/>
            <w:webHidden/>
          </w:rPr>
          <w:tab/>
        </w:r>
        <w:r w:rsidR="003E7D2D">
          <w:rPr>
            <w:noProof/>
            <w:webHidden/>
          </w:rPr>
          <w:fldChar w:fldCharType="begin"/>
        </w:r>
        <w:r w:rsidR="003E7D2D">
          <w:rPr>
            <w:noProof/>
            <w:webHidden/>
          </w:rPr>
          <w:instrText xml:space="preserve"> PAGEREF _Toc525901755 \h </w:instrText>
        </w:r>
        <w:r w:rsidR="003E7D2D">
          <w:rPr>
            <w:noProof/>
            <w:webHidden/>
          </w:rPr>
        </w:r>
        <w:r w:rsidR="003E7D2D">
          <w:rPr>
            <w:noProof/>
            <w:webHidden/>
          </w:rPr>
          <w:fldChar w:fldCharType="separate"/>
        </w:r>
        <w:r w:rsidR="003E7D2D">
          <w:rPr>
            <w:noProof/>
            <w:webHidden/>
          </w:rPr>
          <w:t>8</w:t>
        </w:r>
        <w:r w:rsidR="003E7D2D">
          <w:rPr>
            <w:noProof/>
            <w:webHidden/>
          </w:rPr>
          <w:fldChar w:fldCharType="end"/>
        </w:r>
      </w:hyperlink>
    </w:p>
    <w:p w14:paraId="0F13F53E" w14:textId="63CF9760" w:rsidR="003E7D2D" w:rsidRDefault="00AC2999">
      <w:pPr>
        <w:pStyle w:val="TOC1"/>
        <w:rPr>
          <w:rFonts w:asciiTheme="minorHAnsi" w:eastAsiaTheme="minorEastAsia" w:hAnsiTheme="minorHAnsi" w:cstheme="minorBidi"/>
          <w:b w:val="0"/>
          <w:color w:val="auto"/>
          <w:sz w:val="22"/>
          <w:szCs w:val="22"/>
          <w:lang w:eastAsia="en-GB"/>
        </w:rPr>
      </w:pPr>
      <w:hyperlink w:anchor="_Toc525901756" w:history="1">
        <w:r w:rsidR="003E7D2D" w:rsidRPr="005C2E65">
          <w:rPr>
            <w:rStyle w:val="Hyperlink"/>
          </w:rPr>
          <w:t>Appendix A – GPSoC drug allergy archetype paper</w:t>
        </w:r>
        <w:r w:rsidR="003E7D2D">
          <w:rPr>
            <w:webHidden/>
          </w:rPr>
          <w:tab/>
        </w:r>
        <w:r w:rsidR="003E7D2D">
          <w:rPr>
            <w:webHidden/>
          </w:rPr>
          <w:fldChar w:fldCharType="begin"/>
        </w:r>
        <w:r w:rsidR="003E7D2D">
          <w:rPr>
            <w:webHidden/>
          </w:rPr>
          <w:instrText xml:space="preserve"> PAGEREF _Toc525901756 \h </w:instrText>
        </w:r>
        <w:r w:rsidR="003E7D2D">
          <w:rPr>
            <w:webHidden/>
          </w:rPr>
        </w:r>
        <w:r w:rsidR="003E7D2D">
          <w:rPr>
            <w:webHidden/>
          </w:rPr>
          <w:fldChar w:fldCharType="separate"/>
        </w:r>
        <w:r w:rsidR="003E7D2D">
          <w:rPr>
            <w:webHidden/>
          </w:rPr>
          <w:t>9</w:t>
        </w:r>
        <w:r w:rsidR="003E7D2D">
          <w:rPr>
            <w:webHidden/>
          </w:rPr>
          <w:fldChar w:fldCharType="end"/>
        </w:r>
      </w:hyperlink>
    </w:p>
    <w:p w14:paraId="0BB416AE" w14:textId="76F985EB" w:rsidR="003E7D2D" w:rsidRDefault="00AC2999">
      <w:pPr>
        <w:pStyle w:val="TOC1"/>
        <w:rPr>
          <w:rFonts w:asciiTheme="minorHAnsi" w:eastAsiaTheme="minorEastAsia" w:hAnsiTheme="minorHAnsi" w:cstheme="minorBidi"/>
          <w:b w:val="0"/>
          <w:color w:val="auto"/>
          <w:sz w:val="22"/>
          <w:szCs w:val="22"/>
          <w:lang w:eastAsia="en-GB"/>
        </w:rPr>
      </w:pPr>
      <w:hyperlink w:anchor="_Toc525901757" w:history="1">
        <w:r w:rsidR="003E7D2D" w:rsidRPr="005C2E65">
          <w:rPr>
            <w:rStyle w:val="Hyperlink"/>
          </w:rPr>
          <w:t>Appendix B – Allergy archetype causative agent SNOMED reference set</w:t>
        </w:r>
        <w:r w:rsidR="003E7D2D">
          <w:rPr>
            <w:webHidden/>
          </w:rPr>
          <w:tab/>
        </w:r>
        <w:r w:rsidR="003E7D2D">
          <w:rPr>
            <w:webHidden/>
          </w:rPr>
          <w:fldChar w:fldCharType="begin"/>
        </w:r>
        <w:r w:rsidR="003E7D2D">
          <w:rPr>
            <w:webHidden/>
          </w:rPr>
          <w:instrText xml:space="preserve"> PAGEREF _Toc525901757 \h </w:instrText>
        </w:r>
        <w:r w:rsidR="003E7D2D">
          <w:rPr>
            <w:webHidden/>
          </w:rPr>
        </w:r>
        <w:r w:rsidR="003E7D2D">
          <w:rPr>
            <w:webHidden/>
          </w:rPr>
          <w:fldChar w:fldCharType="separate"/>
        </w:r>
        <w:r w:rsidR="003E7D2D">
          <w:rPr>
            <w:webHidden/>
          </w:rPr>
          <w:t>9</w:t>
        </w:r>
        <w:r w:rsidR="003E7D2D">
          <w:rPr>
            <w:webHidden/>
          </w:rPr>
          <w:fldChar w:fldCharType="end"/>
        </w:r>
      </w:hyperlink>
    </w:p>
    <w:p w14:paraId="785D170D" w14:textId="67A9072B" w:rsidR="00155D8C" w:rsidRPr="00B476EC" w:rsidRDefault="00BC0B63" w:rsidP="00183E37">
      <w:pPr>
        <w:pStyle w:val="TOC1"/>
        <w:sectPr w:rsidR="00155D8C" w:rsidRPr="00B476EC" w:rsidSect="001E2958">
          <w:headerReference w:type="first" r:id="rId19"/>
          <w:pgSz w:w="11906" w:h="16838"/>
          <w:pgMar w:top="1021" w:right="1021" w:bottom="1021" w:left="1021" w:header="561" w:footer="561" w:gutter="0"/>
          <w:cols w:space="720"/>
          <w:docGrid w:linePitch="360"/>
        </w:sectPr>
      </w:pPr>
      <w:r w:rsidRPr="00B476EC">
        <w:fldChar w:fldCharType="end"/>
      </w:r>
    </w:p>
    <w:p w14:paraId="264A3EB7" w14:textId="3E32361A" w:rsidR="00273F06" w:rsidRDefault="00BC33FE" w:rsidP="005D73DB">
      <w:pPr>
        <w:pStyle w:val="Heading1"/>
      </w:pPr>
      <w:bookmarkStart w:id="9" w:name="_Toc525901749"/>
      <w:r w:rsidRPr="005D73DB">
        <w:lastRenderedPageBreak/>
        <w:t>Introduction</w:t>
      </w:r>
      <w:bookmarkEnd w:id="9"/>
    </w:p>
    <w:p w14:paraId="275261A2" w14:textId="042BA1B4" w:rsidR="00C53CFE" w:rsidRDefault="00C53CFE" w:rsidP="00C53CFE">
      <w:r>
        <w:t xml:space="preserve">This document is for GP systems suppliers and manufacturers of clinical decision support systems. It provides guidance in the implementation of the allergy archetype that was defined as part of the </w:t>
      </w:r>
      <w:proofErr w:type="spellStart"/>
      <w:r>
        <w:t>GPSoC</w:t>
      </w:r>
      <w:proofErr w:type="spellEnd"/>
      <w:r>
        <w:t xml:space="preserve"> requirements (see Appendix A).</w:t>
      </w:r>
    </w:p>
    <w:p w14:paraId="18E7162A" w14:textId="77777777" w:rsidR="00C53CFE" w:rsidRPr="00C53CFE" w:rsidRDefault="00C53CFE" w:rsidP="00C53CFE"/>
    <w:p w14:paraId="0954C907" w14:textId="17947707" w:rsidR="00273F06" w:rsidRPr="005D73DB" w:rsidRDefault="00395FC0" w:rsidP="005D73DB">
      <w:pPr>
        <w:pStyle w:val="Heading2"/>
      </w:pPr>
      <w:bookmarkStart w:id="10" w:name="_Toc525901750"/>
      <w:bookmarkStart w:id="11" w:name="_Toc92774723"/>
      <w:r w:rsidRPr="005D73DB">
        <w:t xml:space="preserve">Purpose of </w:t>
      </w:r>
      <w:r w:rsidR="0071135F" w:rsidRPr="005D73DB">
        <w:t>document</w:t>
      </w:r>
      <w:bookmarkEnd w:id="10"/>
    </w:p>
    <w:p w14:paraId="14B0BD27" w14:textId="77777777" w:rsidR="00F43DB2" w:rsidRDefault="00F43DB2" w:rsidP="00F43DB2">
      <w:pPr>
        <w:pStyle w:val="Heading3"/>
      </w:pPr>
      <w:r w:rsidRPr="00B476EC">
        <w:t>Background</w:t>
      </w:r>
      <w:r>
        <w:t xml:space="preserve"> context</w:t>
      </w:r>
    </w:p>
    <w:p w14:paraId="6267AF75" w14:textId="77777777" w:rsidR="00C90741" w:rsidRDefault="00C90741" w:rsidP="00C90741">
      <w:r>
        <w:t xml:space="preserve">The clinical leads of GP2GP and </w:t>
      </w:r>
      <w:proofErr w:type="spellStart"/>
      <w:r>
        <w:t>GPSoC</w:t>
      </w:r>
      <w:proofErr w:type="spellEnd"/>
      <w:r>
        <w:t xml:space="preserve"> have identified a clinical benefit to standardising the capture of primary care drug allergy information, the transfer of this information between primary care organisations and the clinical safety benefits to prescribing new medications to patients. There are likely to be further benefits to other care settings when patients are referred for more specialised treatment.</w:t>
      </w:r>
    </w:p>
    <w:p w14:paraId="3EC31351" w14:textId="77777777" w:rsidR="00C90741" w:rsidRDefault="00C90741" w:rsidP="00C90741">
      <w:r>
        <w:t>This document contains the following sections:</w:t>
      </w:r>
    </w:p>
    <w:p w14:paraId="5CC8CEE9" w14:textId="77777777" w:rsidR="00C90741" w:rsidRDefault="00C90741" w:rsidP="00C90741">
      <w:pPr>
        <w:pStyle w:val="Bulletlist"/>
        <w:numPr>
          <w:ilvl w:val="0"/>
          <w:numId w:val="9"/>
        </w:numPr>
      </w:pPr>
      <w:r>
        <w:t>Logical model – the constructs, attributes and inter-relationships making up the archetype</w:t>
      </w:r>
    </w:p>
    <w:p w14:paraId="1EB69B3C" w14:textId="77777777" w:rsidR="00C90741" w:rsidRDefault="00C90741" w:rsidP="00C90741">
      <w:pPr>
        <w:pStyle w:val="Bulletlist"/>
        <w:numPr>
          <w:ilvl w:val="0"/>
          <w:numId w:val="9"/>
        </w:numPr>
      </w:pPr>
      <w:r>
        <w:t>Tabular requirements – the system requirements for using the archetype</w:t>
      </w:r>
    </w:p>
    <w:p w14:paraId="5E6E176D" w14:textId="77777777" w:rsidR="00C90741" w:rsidRDefault="00C90741" w:rsidP="00C90741">
      <w:pPr>
        <w:pStyle w:val="ListParagraph"/>
        <w:numPr>
          <w:ilvl w:val="0"/>
          <w:numId w:val="9"/>
        </w:numPr>
        <w:spacing w:after="0"/>
        <w:contextualSpacing w:val="0"/>
      </w:pPr>
      <w:r>
        <w:t>Appendices – these contain other relevant documentation</w:t>
      </w:r>
    </w:p>
    <w:p w14:paraId="3A5BBE94" w14:textId="77777777" w:rsidR="00C90741" w:rsidRPr="00B476EC" w:rsidRDefault="00C90741" w:rsidP="00175E02"/>
    <w:p w14:paraId="61657EDE" w14:textId="53D4180B" w:rsidR="005F07D1" w:rsidRPr="005F07D1" w:rsidRDefault="00577824" w:rsidP="00577824">
      <w:pPr>
        <w:pStyle w:val="Heading1"/>
      </w:pPr>
      <w:bookmarkStart w:id="12" w:name="_Toc525901751"/>
      <w:bookmarkEnd w:id="11"/>
      <w:r>
        <w:t>Logical model</w:t>
      </w:r>
      <w:bookmarkEnd w:id="12"/>
    </w:p>
    <w:p w14:paraId="35840A61" w14:textId="77777777" w:rsidR="00577824" w:rsidRPr="0029692F" w:rsidRDefault="00577824" w:rsidP="00577824">
      <w:pPr>
        <w:spacing w:after="0"/>
        <w:rPr>
          <w:rFonts w:cs="Arial"/>
        </w:rPr>
      </w:pPr>
      <w:r w:rsidRPr="0029692F">
        <w:rPr>
          <w:rFonts w:cs="Arial"/>
        </w:rPr>
        <w:t>The mind map of the logical model developed for the allergy archetype is detailed below and describes the relevant data items and their relationships.</w:t>
      </w:r>
    </w:p>
    <w:p w14:paraId="258EE875" w14:textId="77777777" w:rsidR="00577824" w:rsidRDefault="00577824" w:rsidP="00577824">
      <w:pPr>
        <w:spacing w:after="0"/>
        <w:rPr>
          <w:rFonts w:cs="Arial"/>
        </w:rPr>
      </w:pPr>
    </w:p>
    <w:p w14:paraId="76789356" w14:textId="77777777" w:rsidR="00577824" w:rsidRPr="0029692F" w:rsidRDefault="00577824" w:rsidP="00577824">
      <w:pPr>
        <w:spacing w:after="0"/>
        <w:rPr>
          <w:rFonts w:cs="Arial"/>
        </w:rPr>
      </w:pPr>
      <w:r>
        <w:rPr>
          <w:noProof/>
        </w:rPr>
        <w:drawing>
          <wp:inline distT="0" distB="0" distL="0" distR="0" wp14:anchorId="0B9C9AD8" wp14:editId="11ED176E">
            <wp:extent cx="4867275" cy="1990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7275" cy="1990725"/>
                    </a:xfrm>
                    <a:prstGeom prst="rect">
                      <a:avLst/>
                    </a:prstGeom>
                  </pic:spPr>
                </pic:pic>
              </a:graphicData>
            </a:graphic>
          </wp:inline>
        </w:drawing>
      </w:r>
    </w:p>
    <w:p w14:paraId="0AB94B59" w14:textId="77777777" w:rsidR="00577824" w:rsidRDefault="00577824" w:rsidP="00577824">
      <w:pPr>
        <w:spacing w:after="0"/>
        <w:rPr>
          <w:rFonts w:cs="Arial"/>
        </w:rPr>
      </w:pPr>
      <w:r w:rsidRPr="0029692F">
        <w:rPr>
          <w:rFonts w:cs="Arial"/>
        </w:rPr>
        <w:t xml:space="preserve">For GP2GP V2 use, it is currently anticipated that there will be 4 permissible ways to express a </w:t>
      </w:r>
      <w:r>
        <w:rPr>
          <w:rFonts w:cs="Arial"/>
        </w:rPr>
        <w:t>c</w:t>
      </w:r>
      <w:r w:rsidRPr="0029692F">
        <w:rPr>
          <w:rFonts w:cs="Arial"/>
        </w:rPr>
        <w:t>ausative agent:</w:t>
      </w:r>
    </w:p>
    <w:p w14:paraId="018C479D" w14:textId="77777777" w:rsidR="00577824" w:rsidRDefault="00577824" w:rsidP="00577824">
      <w:pPr>
        <w:spacing w:after="0"/>
        <w:rPr>
          <w:rFonts w:cs="Arial"/>
        </w:rPr>
      </w:pPr>
    </w:p>
    <w:p w14:paraId="7DA400F0" w14:textId="77777777" w:rsidR="00577824" w:rsidRPr="00716F5B" w:rsidRDefault="00577824" w:rsidP="00577824">
      <w:pPr>
        <w:pStyle w:val="ListParagraph"/>
        <w:numPr>
          <w:ilvl w:val="0"/>
          <w:numId w:val="11"/>
        </w:numPr>
        <w:spacing w:after="0"/>
        <w:contextualSpacing w:val="0"/>
        <w:rPr>
          <w:rFonts w:cs="Arial"/>
        </w:rPr>
      </w:pPr>
      <w:r w:rsidRPr="00716F5B">
        <w:rPr>
          <w:rFonts w:cs="Arial"/>
        </w:rPr>
        <w:t>Drug Group (SNOMED-CT)</w:t>
      </w:r>
    </w:p>
    <w:p w14:paraId="17C4EC28" w14:textId="77777777" w:rsidR="00577824" w:rsidRPr="00716F5B" w:rsidRDefault="00577824" w:rsidP="00577824">
      <w:pPr>
        <w:pStyle w:val="ListParagraph"/>
        <w:numPr>
          <w:ilvl w:val="0"/>
          <w:numId w:val="11"/>
        </w:numPr>
        <w:spacing w:after="0"/>
        <w:contextualSpacing w:val="0"/>
        <w:rPr>
          <w:rFonts w:cs="Arial"/>
        </w:rPr>
      </w:pPr>
      <w:proofErr w:type="spellStart"/>
      <w:r w:rsidRPr="00716F5B">
        <w:rPr>
          <w:rFonts w:cs="Arial"/>
        </w:rPr>
        <w:t>dm+d</w:t>
      </w:r>
      <w:proofErr w:type="spellEnd"/>
      <w:r w:rsidRPr="00716F5B">
        <w:rPr>
          <w:rFonts w:cs="Arial"/>
        </w:rPr>
        <w:t xml:space="preserve"> VMP/AMP (</w:t>
      </w:r>
      <w:proofErr w:type="spellStart"/>
      <w:r w:rsidRPr="00716F5B">
        <w:rPr>
          <w:rFonts w:cs="Arial"/>
        </w:rPr>
        <w:t>dm+d</w:t>
      </w:r>
      <w:proofErr w:type="spellEnd"/>
      <w:r w:rsidRPr="00716F5B">
        <w:rPr>
          <w:rFonts w:cs="Arial"/>
        </w:rPr>
        <w:t>)</w:t>
      </w:r>
    </w:p>
    <w:p w14:paraId="78A46802" w14:textId="77777777" w:rsidR="00577824" w:rsidRPr="00716F5B" w:rsidRDefault="00577824" w:rsidP="00577824">
      <w:pPr>
        <w:pStyle w:val="ListParagraph"/>
        <w:numPr>
          <w:ilvl w:val="0"/>
          <w:numId w:val="11"/>
        </w:numPr>
        <w:spacing w:after="0"/>
        <w:contextualSpacing w:val="0"/>
        <w:rPr>
          <w:rFonts w:cs="Arial"/>
        </w:rPr>
      </w:pPr>
      <w:r w:rsidRPr="00716F5B">
        <w:rPr>
          <w:rFonts w:cs="Arial"/>
        </w:rPr>
        <w:t>Ingredient (SNOMED-CT)</w:t>
      </w:r>
    </w:p>
    <w:p w14:paraId="56371EBE" w14:textId="77777777" w:rsidR="00577824" w:rsidRPr="00716F5B" w:rsidRDefault="00577824" w:rsidP="00577824">
      <w:pPr>
        <w:pStyle w:val="ListParagraph"/>
        <w:numPr>
          <w:ilvl w:val="0"/>
          <w:numId w:val="11"/>
        </w:numPr>
        <w:spacing w:after="0"/>
        <w:contextualSpacing w:val="0"/>
        <w:rPr>
          <w:rFonts w:cs="Arial"/>
        </w:rPr>
      </w:pPr>
      <w:proofErr w:type="spellStart"/>
      <w:r w:rsidRPr="00716F5B">
        <w:rPr>
          <w:rFonts w:cs="Arial"/>
        </w:rPr>
        <w:t>TradeFamily</w:t>
      </w:r>
      <w:proofErr w:type="spellEnd"/>
      <w:r w:rsidRPr="00716F5B">
        <w:rPr>
          <w:rFonts w:cs="Arial"/>
        </w:rPr>
        <w:t>/</w:t>
      </w:r>
      <w:proofErr w:type="spellStart"/>
      <w:r w:rsidRPr="00716F5B">
        <w:rPr>
          <w:rFonts w:cs="Arial"/>
        </w:rPr>
        <w:t>TradeFamilyGroup</w:t>
      </w:r>
      <w:proofErr w:type="spellEnd"/>
      <w:r w:rsidRPr="00716F5B">
        <w:rPr>
          <w:rFonts w:cs="Arial"/>
        </w:rPr>
        <w:t xml:space="preserve"> (SNOMED-CT).</w:t>
      </w:r>
    </w:p>
    <w:p w14:paraId="1BA34F58" w14:textId="77777777" w:rsidR="00577824" w:rsidRDefault="00577824" w:rsidP="00577824">
      <w:pPr>
        <w:spacing w:after="0"/>
        <w:rPr>
          <w:rFonts w:cs="Arial"/>
        </w:rPr>
      </w:pPr>
    </w:p>
    <w:p w14:paraId="6327A128" w14:textId="77777777" w:rsidR="00577824" w:rsidRDefault="00577824" w:rsidP="00577824">
      <w:pPr>
        <w:spacing w:after="0"/>
        <w:rPr>
          <w:rFonts w:cs="Arial"/>
        </w:rPr>
      </w:pPr>
      <w:r w:rsidRPr="0029692F">
        <w:rPr>
          <w:rFonts w:cs="Arial"/>
        </w:rPr>
        <w:lastRenderedPageBreak/>
        <w:t xml:space="preserve">It is MANDATORY that one and only one of these must always be selected. Optionally, in addition a SNOMED </w:t>
      </w:r>
      <w:proofErr w:type="spellStart"/>
      <w:r w:rsidRPr="0029692F">
        <w:rPr>
          <w:rFonts w:cs="Arial"/>
        </w:rPr>
        <w:t>AllergyCode</w:t>
      </w:r>
      <w:proofErr w:type="spellEnd"/>
      <w:r w:rsidRPr="0029692F">
        <w:rPr>
          <w:rFonts w:cs="Arial"/>
        </w:rPr>
        <w:t xml:space="preserve"> may be sent as a mapping but can never be sent on its own.</w:t>
      </w:r>
    </w:p>
    <w:p w14:paraId="025E7299" w14:textId="77777777" w:rsidR="00577824" w:rsidRPr="0029692F" w:rsidRDefault="00577824" w:rsidP="00577824">
      <w:pPr>
        <w:spacing w:after="0"/>
        <w:rPr>
          <w:rFonts w:cs="Arial"/>
        </w:rPr>
      </w:pPr>
    </w:p>
    <w:p w14:paraId="7C5EFCBE" w14:textId="5AA9E670" w:rsidR="00577824" w:rsidRPr="0029692F" w:rsidRDefault="00577824" w:rsidP="00577824">
      <w:pPr>
        <w:spacing w:after="0"/>
        <w:rPr>
          <w:rFonts w:cs="Arial"/>
        </w:rPr>
      </w:pPr>
      <w:r w:rsidRPr="0029692F">
        <w:rPr>
          <w:rFonts w:cs="Arial"/>
        </w:rPr>
        <w:t>For legacy use</w:t>
      </w:r>
      <w:r>
        <w:rPr>
          <w:rFonts w:cs="Arial"/>
        </w:rPr>
        <w:t>,</w:t>
      </w:r>
      <w:r w:rsidRPr="0029692F">
        <w:rPr>
          <w:rFonts w:cs="Arial"/>
        </w:rPr>
        <w:t xml:space="preserve"> other codes are permissible such as FDB Agent codes, EMIS Drug codes and READ codes</w:t>
      </w:r>
      <w:r w:rsidR="00B13EAB">
        <w:rPr>
          <w:rFonts w:cs="Arial"/>
        </w:rPr>
        <w:t>,</w:t>
      </w:r>
      <w:r w:rsidRPr="0029692F">
        <w:rPr>
          <w:rFonts w:cs="Arial"/>
        </w:rPr>
        <w:t xml:space="preserve"> but these should be carried as simple free text and the coded information carried in mappings/translation attributes. This kind of coding is not regarded as being safe to trigger decision support with the native GP system. </w:t>
      </w:r>
      <w:r w:rsidR="00CA502D">
        <w:rPr>
          <w:rFonts w:cs="Arial"/>
        </w:rPr>
        <w:t>See document AA2</w:t>
      </w:r>
      <w:r w:rsidR="005773FA">
        <w:rPr>
          <w:rFonts w:cs="Arial"/>
        </w:rPr>
        <w:t>:</w:t>
      </w:r>
      <w:r w:rsidR="00B13B22">
        <w:rPr>
          <w:rFonts w:cs="Arial"/>
        </w:rPr>
        <w:t xml:space="preserve"> ‘</w:t>
      </w:r>
      <w:r w:rsidR="00CA502D" w:rsidRPr="00CA502D">
        <w:rPr>
          <w:rFonts w:cs="Arial"/>
        </w:rPr>
        <w:t>Implementing the Allergy Archetype in the GP2GP Message</w:t>
      </w:r>
      <w:r w:rsidR="00B13B22">
        <w:rPr>
          <w:rFonts w:cs="Arial"/>
        </w:rPr>
        <w:t>’</w:t>
      </w:r>
      <w:r w:rsidR="00CA502D" w:rsidRPr="00CA502D">
        <w:rPr>
          <w:rFonts w:cs="Arial"/>
        </w:rPr>
        <w:t xml:space="preserve"> </w:t>
      </w:r>
      <w:r w:rsidR="00B13B22">
        <w:rPr>
          <w:rFonts w:cs="Arial"/>
        </w:rPr>
        <w:t>for</w:t>
      </w:r>
      <w:r w:rsidRPr="0029692F">
        <w:rPr>
          <w:rFonts w:cs="Arial"/>
        </w:rPr>
        <w:t xml:space="preserve"> more detail on implementation in the GP2GP message.</w:t>
      </w:r>
    </w:p>
    <w:p w14:paraId="631308D3" w14:textId="77777777" w:rsidR="00577824" w:rsidRPr="0029692F" w:rsidRDefault="00577824" w:rsidP="00577824">
      <w:pPr>
        <w:spacing w:after="0"/>
        <w:rPr>
          <w:rFonts w:cs="Arial"/>
        </w:rPr>
      </w:pPr>
    </w:p>
    <w:p w14:paraId="6C466489" w14:textId="77777777" w:rsidR="00577824" w:rsidRDefault="00577824" w:rsidP="00577824">
      <w:pPr>
        <w:spacing w:after="0"/>
        <w:rPr>
          <w:rFonts w:cs="Arial"/>
        </w:rPr>
      </w:pPr>
      <w:r w:rsidRPr="0029692F">
        <w:rPr>
          <w:rFonts w:cs="Arial"/>
        </w:rPr>
        <w:t>The detailed description of each of the data items is in the following table</w:t>
      </w:r>
      <w:r>
        <w:rPr>
          <w:rFonts w:cs="Arial"/>
        </w:rPr>
        <w:t>:</w:t>
      </w:r>
    </w:p>
    <w:p w14:paraId="638BCC76" w14:textId="77777777" w:rsidR="00577824" w:rsidRDefault="00577824" w:rsidP="00577824">
      <w:pPr>
        <w:spacing w:after="0"/>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6095"/>
      </w:tblGrid>
      <w:tr w:rsidR="00577824" w:rsidRPr="00851F26" w14:paraId="2295EE9A" w14:textId="77777777" w:rsidTr="000E608B">
        <w:trPr>
          <w:tblHeader/>
        </w:trPr>
        <w:tc>
          <w:tcPr>
            <w:tcW w:w="1838" w:type="dxa"/>
            <w:shd w:val="clear" w:color="auto" w:fill="DBE5F1"/>
          </w:tcPr>
          <w:p w14:paraId="052FABE7" w14:textId="77777777" w:rsidR="00577824" w:rsidRPr="00610FDE" w:rsidRDefault="00577824" w:rsidP="000E608B">
            <w:pPr>
              <w:pStyle w:val="StyleLeft165cm"/>
              <w:rPr>
                <w:b/>
                <w:lang w:eastAsia="en-GB"/>
              </w:rPr>
            </w:pPr>
            <w:r w:rsidRPr="00610FDE">
              <w:rPr>
                <w:b/>
              </w:rPr>
              <w:t>Data item</w:t>
            </w:r>
          </w:p>
        </w:tc>
        <w:tc>
          <w:tcPr>
            <w:tcW w:w="1985" w:type="dxa"/>
            <w:shd w:val="clear" w:color="auto" w:fill="DBE5F1"/>
          </w:tcPr>
          <w:p w14:paraId="10E27903" w14:textId="77777777" w:rsidR="00577824" w:rsidRPr="00610FDE" w:rsidRDefault="00577824" w:rsidP="000E608B">
            <w:pPr>
              <w:pStyle w:val="StyleLeft165cm"/>
              <w:rPr>
                <w:b/>
                <w:lang w:eastAsia="en-GB"/>
              </w:rPr>
            </w:pPr>
            <w:r w:rsidRPr="00610FDE">
              <w:rPr>
                <w:b/>
              </w:rPr>
              <w:t>Description</w:t>
            </w:r>
          </w:p>
        </w:tc>
        <w:tc>
          <w:tcPr>
            <w:tcW w:w="6095" w:type="dxa"/>
            <w:shd w:val="clear" w:color="auto" w:fill="DBE5F1"/>
          </w:tcPr>
          <w:p w14:paraId="5B49357D" w14:textId="77777777" w:rsidR="00577824" w:rsidRPr="00610FDE" w:rsidRDefault="00577824" w:rsidP="000E608B">
            <w:pPr>
              <w:pStyle w:val="StyleLeft165cm"/>
              <w:rPr>
                <w:b/>
                <w:lang w:eastAsia="en-GB"/>
              </w:rPr>
            </w:pPr>
            <w:r w:rsidRPr="00610FDE">
              <w:rPr>
                <w:b/>
              </w:rPr>
              <w:t>Rule</w:t>
            </w:r>
            <w:r>
              <w:rPr>
                <w:b/>
              </w:rPr>
              <w:t>s</w:t>
            </w:r>
            <w:r w:rsidRPr="00610FDE">
              <w:rPr>
                <w:b/>
              </w:rPr>
              <w:t>/Constraints</w:t>
            </w:r>
          </w:p>
        </w:tc>
      </w:tr>
      <w:tr w:rsidR="00577824" w:rsidRPr="00E44424" w14:paraId="2CBE58F3" w14:textId="77777777" w:rsidTr="000E608B">
        <w:tc>
          <w:tcPr>
            <w:tcW w:w="1838" w:type="dxa"/>
            <w:shd w:val="clear" w:color="auto" w:fill="auto"/>
          </w:tcPr>
          <w:p w14:paraId="6CEF5CE3"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Causative agent</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4FA88AF6" wp14:editId="0FE7DB75">
                  <wp:extent cx="152400" cy="152400"/>
                  <wp:effectExtent l="0" t="0" r="0" b="0"/>
                  <wp:docPr id="21" name="Picture 21" descr="http://ckm.apperta.org/ckm/pics/rm/small/ch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239" descr="http://ckm.apperta.org/ckm/pics/rm/small/choi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Choice </w:t>
            </w:r>
            <w:r w:rsidRPr="001D6C3D">
              <w:rPr>
                <w:rFonts w:asciiTheme="minorHAnsi" w:hAnsiTheme="minorHAnsi" w:cstheme="minorHAnsi"/>
                <w:noProof/>
                <w:color w:val="0000FF"/>
                <w:sz w:val="18"/>
                <w:szCs w:val="17"/>
                <w:lang w:eastAsia="en-GB"/>
              </w:rPr>
              <w:drawing>
                <wp:inline distT="0" distB="0" distL="0" distR="0" wp14:anchorId="4CDAD40C" wp14:editId="0205A136">
                  <wp:extent cx="95250" cy="95250"/>
                  <wp:effectExtent l="0" t="0" r="0" b="0"/>
                  <wp:docPr id="20" name="Picture 20"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t>Mandatory</w:t>
            </w:r>
          </w:p>
        </w:tc>
        <w:tc>
          <w:tcPr>
            <w:tcW w:w="1985" w:type="dxa"/>
            <w:shd w:val="clear" w:color="auto" w:fill="auto"/>
          </w:tcPr>
          <w:p w14:paraId="35CB7397"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Details of the agent or medicinal substance believed to be the cause of the adverse reaction or allergy.</w:t>
            </w:r>
            <w:r w:rsidRPr="001D6C3D">
              <w:rPr>
                <w:rFonts w:asciiTheme="minorHAnsi" w:hAnsiTheme="minorHAnsi" w:cstheme="minorHAnsi"/>
                <w:color w:val="000000"/>
                <w:sz w:val="18"/>
                <w:szCs w:val="17"/>
                <w:lang w:eastAsia="en-GB"/>
              </w:rPr>
              <w:br/>
            </w:r>
          </w:p>
        </w:tc>
        <w:tc>
          <w:tcPr>
            <w:tcW w:w="6095" w:type="dxa"/>
            <w:shd w:val="clear" w:color="auto" w:fill="auto"/>
          </w:tcPr>
          <w:p w14:paraId="591E3CE6" w14:textId="77777777" w:rsidR="00577824" w:rsidRPr="001D6C3D" w:rsidRDefault="00577824" w:rsidP="000E608B">
            <w:p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i/>
                <w:iCs/>
                <w:color w:val="000000"/>
                <w:sz w:val="18"/>
                <w:szCs w:val="17"/>
                <w:lang w:eastAsia="en-GB"/>
              </w:rPr>
              <w:t>Choice of:</w:t>
            </w:r>
          </w:p>
          <w:p w14:paraId="7813239C" w14:textId="77777777" w:rsidR="00577824" w:rsidRPr="001D6C3D" w:rsidRDefault="00577824" w:rsidP="00577824">
            <w:pPr>
              <w:numPr>
                <w:ilvl w:val="0"/>
                <w:numId w:val="12"/>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noProof/>
                <w:color w:val="000000"/>
                <w:sz w:val="18"/>
                <w:szCs w:val="17"/>
                <w:lang w:eastAsia="en-GB"/>
              </w:rPr>
              <w:drawing>
                <wp:inline distT="0" distB="0" distL="0" distR="0" wp14:anchorId="2D0647B8" wp14:editId="64FA330A">
                  <wp:extent cx="152400" cy="152400"/>
                  <wp:effectExtent l="0" t="0" r="0" b="0"/>
                  <wp:docPr id="19" name="Picture 19"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000000"/>
                <w:sz w:val="18"/>
                <w:szCs w:val="17"/>
                <w:lang w:eastAsia="en-GB"/>
              </w:rPr>
              <w:t> Coded Text</w:t>
            </w:r>
            <w:r w:rsidRPr="001D6C3D">
              <w:rPr>
                <w:rFonts w:asciiTheme="minorHAnsi" w:hAnsiTheme="minorHAnsi" w:cstheme="minorHAnsi"/>
                <w:color w:val="000000"/>
                <w:sz w:val="18"/>
                <w:szCs w:val="17"/>
                <w:lang w:eastAsia="en-GB"/>
              </w:rPr>
              <w:br/>
              <w:t>Constraint: </w:t>
            </w:r>
            <w:r w:rsidRPr="001D6C3D">
              <w:rPr>
                <w:rFonts w:asciiTheme="minorHAnsi" w:hAnsiTheme="minorHAnsi" w:cstheme="minorHAnsi"/>
                <w:color w:val="000000"/>
                <w:sz w:val="18"/>
                <w:szCs w:val="17"/>
                <w:lang w:eastAsia="en-GB"/>
              </w:rPr>
              <w:br/>
              <w:t>Causative Agent</w:t>
            </w:r>
            <w:r w:rsidRPr="001D6C3D">
              <w:rPr>
                <w:rFonts w:asciiTheme="minorHAnsi" w:hAnsiTheme="minorHAnsi" w:cstheme="minorHAnsi"/>
                <w:color w:val="000000"/>
                <w:sz w:val="18"/>
                <w:szCs w:val="17"/>
                <w:lang w:eastAsia="en-GB"/>
              </w:rPr>
              <w:br/>
              <w:t xml:space="preserve">A causative agent term from one of the approved terminology subsets - </w:t>
            </w:r>
            <w:proofErr w:type="spellStart"/>
            <w:r w:rsidRPr="001D6C3D">
              <w:rPr>
                <w:rFonts w:asciiTheme="minorHAnsi" w:hAnsiTheme="minorHAnsi" w:cstheme="minorHAnsi"/>
                <w:color w:val="000000"/>
                <w:sz w:val="18"/>
                <w:szCs w:val="17"/>
                <w:lang w:eastAsia="en-GB"/>
              </w:rPr>
              <w:t>dm+d</w:t>
            </w:r>
            <w:proofErr w:type="spellEnd"/>
            <w:r w:rsidRPr="001D6C3D">
              <w:rPr>
                <w:rFonts w:asciiTheme="minorHAnsi" w:hAnsiTheme="minorHAnsi" w:cstheme="minorHAnsi"/>
                <w:color w:val="000000"/>
                <w:sz w:val="18"/>
                <w:szCs w:val="17"/>
                <w:lang w:eastAsia="en-GB"/>
              </w:rPr>
              <w:t xml:space="preserve"> Ingredient/ VTM/AMP/VMP; SNOMED-CT Allergy codes/Trade family/Trade Family Group codes.</w:t>
            </w:r>
            <w:r w:rsidRPr="001D6C3D">
              <w:rPr>
                <w:rFonts w:asciiTheme="minorHAnsi" w:hAnsiTheme="minorHAnsi" w:cstheme="minorHAnsi"/>
                <w:color w:val="000000"/>
                <w:sz w:val="18"/>
                <w:szCs w:val="17"/>
                <w:lang w:eastAsia="en-GB"/>
              </w:rPr>
              <w:br/>
            </w:r>
            <w:r w:rsidRPr="001D6C3D">
              <w:rPr>
                <w:rFonts w:asciiTheme="minorHAnsi" w:hAnsiTheme="minorHAnsi" w:cstheme="minorHAnsi"/>
                <w:color w:val="000000"/>
                <w:sz w:val="18"/>
                <w:szCs w:val="17"/>
                <w:lang w:eastAsia="en-GB"/>
              </w:rPr>
              <w:br/>
              <w:t>Constraint binding: </w:t>
            </w:r>
          </w:p>
          <w:p w14:paraId="114A12A2" w14:textId="77777777" w:rsidR="00577824" w:rsidRPr="001D6C3D" w:rsidRDefault="00577824" w:rsidP="000E608B">
            <w:pPr>
              <w:spacing w:after="0"/>
              <w:ind w:left="72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[SNOMED-CT]</w:t>
            </w:r>
          </w:p>
          <w:p w14:paraId="61B9872C" w14:textId="77777777" w:rsidR="00577824" w:rsidRPr="001D6C3D" w:rsidRDefault="00577824" w:rsidP="000E608B">
            <w:pPr>
              <w:spacing w:after="0"/>
              <w:ind w:left="72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subset=</w:t>
            </w:r>
            <w:proofErr w:type="spellStart"/>
            <w:r w:rsidRPr="001D6C3D">
              <w:rPr>
                <w:rFonts w:asciiTheme="minorHAnsi" w:hAnsiTheme="minorHAnsi" w:cstheme="minorHAnsi"/>
                <w:color w:val="000000"/>
                <w:sz w:val="18"/>
                <w:szCs w:val="17"/>
                <w:lang w:eastAsia="en-GB"/>
              </w:rPr>
              <w:t>CausativeAgents</w:t>
            </w:r>
            <w:proofErr w:type="spellEnd"/>
          </w:p>
          <w:p w14:paraId="25839746" w14:textId="77777777" w:rsidR="00577824" w:rsidRPr="001D6C3D" w:rsidRDefault="00577824" w:rsidP="000E608B">
            <w:pPr>
              <w:spacing w:after="0"/>
              <w:ind w:left="72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For detail of SNOMED subset definition in Appendix B</w:t>
            </w:r>
          </w:p>
          <w:p w14:paraId="444F2EAC"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noProof/>
                <w:color w:val="000000"/>
                <w:sz w:val="18"/>
                <w:szCs w:val="17"/>
                <w:lang w:eastAsia="en-GB"/>
              </w:rPr>
              <w:drawing>
                <wp:inline distT="0" distB="0" distL="0" distR="0" wp14:anchorId="6D84E544" wp14:editId="1E5C4B5B">
                  <wp:extent cx="152400" cy="152400"/>
                  <wp:effectExtent l="0" t="0" r="0" b="0"/>
                  <wp:docPr id="18" name="Picture 18"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000000"/>
                <w:sz w:val="18"/>
                <w:szCs w:val="17"/>
                <w:lang w:eastAsia="en-GB"/>
              </w:rPr>
              <w:t> Text</w:t>
            </w:r>
          </w:p>
        </w:tc>
      </w:tr>
      <w:tr w:rsidR="00577824" w:rsidRPr="00E44424" w14:paraId="365BF992" w14:textId="77777777" w:rsidTr="000E608B">
        <w:tc>
          <w:tcPr>
            <w:tcW w:w="1838" w:type="dxa"/>
            <w:shd w:val="clear" w:color="auto" w:fill="auto"/>
          </w:tcPr>
          <w:p w14:paraId="1D671B4D" w14:textId="77777777" w:rsidR="00577824" w:rsidRPr="001D6C3D" w:rsidRDefault="00577824" w:rsidP="000E608B">
            <w:pPr>
              <w:spacing w:after="0"/>
              <w:textboxTightWrap w:val="none"/>
              <w:rPr>
                <w:rFonts w:asciiTheme="minorHAnsi" w:hAnsiTheme="minorHAnsi" w:cstheme="minorHAnsi"/>
                <w:color w:val="555555"/>
                <w:sz w:val="18"/>
                <w:szCs w:val="17"/>
                <w:lang w:eastAsia="en-GB"/>
              </w:rPr>
            </w:pPr>
            <w:r w:rsidRPr="001D6C3D">
              <w:rPr>
                <w:rFonts w:asciiTheme="minorHAnsi" w:hAnsiTheme="minorHAnsi" w:cstheme="minorHAnsi"/>
                <w:noProof/>
                <w:color w:val="555555"/>
                <w:sz w:val="18"/>
                <w:szCs w:val="17"/>
                <w:lang w:eastAsia="en-GB"/>
              </w:rPr>
              <w:drawing>
                <wp:inline distT="0" distB="0" distL="0" distR="0" wp14:anchorId="55C39A07" wp14:editId="4BF8F2AE">
                  <wp:extent cx="114300" cy="114300"/>
                  <wp:effectExtent l="0" t="0" r="0" b="0"/>
                  <wp:docPr id="17" name="Picture 17" descr="http://ckm.apperta.org/ckm/pics/other/arrow_expa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km.apperta.org/ckm/pics/other/arrow_expand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D6C3D">
              <w:rPr>
                <w:rFonts w:asciiTheme="minorHAnsi" w:hAnsiTheme="minorHAnsi" w:cstheme="minorHAnsi"/>
                <w:color w:val="555555"/>
                <w:sz w:val="18"/>
                <w:szCs w:val="17"/>
                <w:lang w:eastAsia="en-GB"/>
              </w:rPr>
              <w:t> </w:t>
            </w:r>
          </w:p>
          <w:p w14:paraId="178F1538"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Reaction details</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2882EBE2" wp14:editId="419FFB71">
                  <wp:extent cx="152400" cy="152400"/>
                  <wp:effectExtent l="0" t="0" r="0" b="0"/>
                  <wp:docPr id="16" name="Picture 16" descr="http://ckm.apperta.org/ckm/pics/rm/small/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km.apperta.org/ckm/pics/rm/small/clus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Cluster</w:t>
            </w:r>
            <w:r w:rsidRPr="001D6C3D">
              <w:rPr>
                <w:rFonts w:asciiTheme="minorHAnsi" w:hAnsiTheme="minorHAnsi" w:cstheme="minorHAnsi"/>
                <w:color w:val="8D8D8D"/>
                <w:sz w:val="18"/>
                <w:szCs w:val="17"/>
                <w:lang w:eastAsia="en-GB"/>
              </w:rPr>
              <w:br/>
              <w:t>Optional</w:t>
            </w:r>
          </w:p>
        </w:tc>
        <w:tc>
          <w:tcPr>
            <w:tcW w:w="1985" w:type="dxa"/>
            <w:shd w:val="clear" w:color="auto" w:fill="auto"/>
          </w:tcPr>
          <w:p w14:paraId="672DBA51"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Details of a single reaction thought to be due to the causative agent.</w:t>
            </w:r>
          </w:p>
        </w:tc>
        <w:tc>
          <w:tcPr>
            <w:tcW w:w="6095" w:type="dxa"/>
            <w:shd w:val="clear" w:color="auto" w:fill="auto"/>
          </w:tcPr>
          <w:p w14:paraId="60519F5F"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 </w:t>
            </w:r>
          </w:p>
        </w:tc>
      </w:tr>
      <w:tr w:rsidR="00577824" w:rsidRPr="00E44424" w14:paraId="525CD79D" w14:textId="77777777" w:rsidTr="000E608B">
        <w:tc>
          <w:tcPr>
            <w:tcW w:w="1838" w:type="dxa"/>
            <w:shd w:val="clear" w:color="auto" w:fill="auto"/>
          </w:tcPr>
          <w:p w14:paraId="01822BC3"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Reaction</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317DFCB0" wp14:editId="4953AF39">
                  <wp:extent cx="152400" cy="152400"/>
                  <wp:effectExtent l="0" t="0" r="0" b="0"/>
                  <wp:docPr id="15" name="Picture 15"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Coded Text </w:t>
            </w:r>
            <w:r w:rsidRPr="001D6C3D">
              <w:rPr>
                <w:rFonts w:asciiTheme="minorHAnsi" w:hAnsiTheme="minorHAnsi" w:cstheme="minorHAnsi"/>
                <w:noProof/>
                <w:color w:val="0000FF"/>
                <w:sz w:val="18"/>
                <w:szCs w:val="17"/>
                <w:lang w:eastAsia="en-GB"/>
              </w:rPr>
              <w:drawing>
                <wp:inline distT="0" distB="0" distL="0" distR="0" wp14:anchorId="2A75FBE5" wp14:editId="0B4D4009">
                  <wp:extent cx="95250" cy="95250"/>
                  <wp:effectExtent l="0" t="0" r="0" b="0"/>
                  <wp:docPr id="11" name="Picture 11"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t>Optional</w:t>
            </w:r>
            <w:r w:rsidRPr="001D6C3D">
              <w:rPr>
                <w:rFonts w:asciiTheme="minorHAnsi" w:hAnsiTheme="minorHAnsi" w:cstheme="minorHAnsi"/>
                <w:color w:val="8D8D8D"/>
                <w:sz w:val="18"/>
                <w:szCs w:val="17"/>
                <w:lang w:eastAsia="en-GB"/>
              </w:rPr>
              <w:b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282100009 | Adverse reaction to substance (disorder)]</w:t>
            </w:r>
          </w:p>
        </w:tc>
        <w:tc>
          <w:tcPr>
            <w:tcW w:w="1985" w:type="dxa"/>
            <w:shd w:val="clear" w:color="auto" w:fill="auto"/>
          </w:tcPr>
          <w:p w14:paraId="79D58385"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An optional pre-coordinated unqualified SNOMED-CT code for the nature of the reaction produced by the drug allergy.</w:t>
            </w:r>
          </w:p>
        </w:tc>
        <w:tc>
          <w:tcPr>
            <w:tcW w:w="6095" w:type="dxa"/>
            <w:shd w:val="clear" w:color="auto" w:fill="auto"/>
          </w:tcPr>
          <w:p w14:paraId="0F23818D" w14:textId="77777777" w:rsidR="00577824" w:rsidRPr="001D6C3D" w:rsidRDefault="00577824" w:rsidP="000E608B">
            <w:p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Constraint: </w:t>
            </w:r>
            <w:r w:rsidRPr="001D6C3D">
              <w:rPr>
                <w:rFonts w:asciiTheme="minorHAnsi" w:hAnsiTheme="minorHAnsi" w:cstheme="minorHAnsi"/>
                <w:color w:val="000000"/>
                <w:sz w:val="18"/>
                <w:szCs w:val="17"/>
                <w:lang w:eastAsia="en-GB"/>
              </w:rPr>
              <w:br/>
              <w:t>Clinical Finding</w:t>
            </w:r>
            <w:r w:rsidRPr="001D6C3D">
              <w:rPr>
                <w:rFonts w:asciiTheme="minorHAnsi" w:hAnsiTheme="minorHAnsi" w:cstheme="minorHAnsi"/>
                <w:color w:val="000000"/>
                <w:sz w:val="18"/>
                <w:szCs w:val="17"/>
                <w:lang w:eastAsia="en-GB"/>
              </w:rPr>
              <w:br/>
              <w:t>Any SNOMED-CT term in the Clinical Finding hierarchy.</w:t>
            </w:r>
            <w:r w:rsidRPr="001D6C3D">
              <w:rPr>
                <w:rFonts w:asciiTheme="minorHAnsi" w:hAnsiTheme="minorHAnsi" w:cstheme="minorHAnsi"/>
                <w:color w:val="000000"/>
                <w:sz w:val="18"/>
                <w:szCs w:val="17"/>
                <w:lang w:eastAsia="en-GB"/>
              </w:rPr>
              <w:br/>
            </w:r>
            <w:r w:rsidRPr="001D6C3D">
              <w:rPr>
                <w:rFonts w:asciiTheme="minorHAnsi" w:hAnsiTheme="minorHAnsi" w:cstheme="minorHAnsi"/>
                <w:color w:val="000000"/>
                <w:sz w:val="18"/>
                <w:szCs w:val="17"/>
                <w:lang w:eastAsia="en-GB"/>
              </w:rPr>
              <w:br/>
              <w:t>Constraint binding: </w:t>
            </w:r>
          </w:p>
          <w:p w14:paraId="602DC361" w14:textId="77777777" w:rsidR="00577824" w:rsidRPr="001D6C3D" w:rsidRDefault="00577824" w:rsidP="000E608B">
            <w:p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[SNOMED-CT]</w:t>
            </w:r>
          </w:p>
          <w:p w14:paraId="56AD532D"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subset=</w:t>
            </w:r>
            <w:proofErr w:type="spellStart"/>
            <w:r w:rsidRPr="001D6C3D">
              <w:rPr>
                <w:rFonts w:asciiTheme="minorHAnsi" w:hAnsiTheme="minorHAnsi" w:cstheme="minorHAnsi"/>
                <w:color w:val="000000"/>
                <w:sz w:val="18"/>
                <w:szCs w:val="17"/>
                <w:lang w:eastAsia="en-GB"/>
              </w:rPr>
              <w:t>ClinicalFinding</w:t>
            </w:r>
            <w:proofErr w:type="spellEnd"/>
          </w:p>
        </w:tc>
      </w:tr>
      <w:tr w:rsidR="00577824" w:rsidRPr="00E44424" w14:paraId="1DCAF755" w14:textId="77777777" w:rsidTr="000E608B">
        <w:tc>
          <w:tcPr>
            <w:tcW w:w="1838" w:type="dxa"/>
            <w:shd w:val="clear" w:color="auto" w:fill="auto"/>
          </w:tcPr>
          <w:p w14:paraId="4EC87BF3"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Date recorded</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2D9E4375" wp14:editId="2B8E9D19">
                  <wp:extent cx="152400" cy="152400"/>
                  <wp:effectExtent l="0" t="0" r="0" b="0"/>
                  <wp:docPr id="10" name="Picture 10" descr="http://ckm.apperta.org/ckm/pics/rm/small/dat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km.apperta.org/ckm/pics/rm/small/datetim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Date/Time </w:t>
            </w:r>
            <w:r w:rsidRPr="001D6C3D">
              <w:rPr>
                <w:rFonts w:asciiTheme="minorHAnsi" w:hAnsiTheme="minorHAnsi" w:cstheme="minorHAnsi"/>
                <w:noProof/>
                <w:color w:val="0000FF"/>
                <w:sz w:val="18"/>
                <w:szCs w:val="17"/>
                <w:lang w:eastAsia="en-GB"/>
              </w:rPr>
              <w:drawing>
                <wp:inline distT="0" distB="0" distL="0" distR="0" wp14:anchorId="192D8766" wp14:editId="02B01A31">
                  <wp:extent cx="95250" cy="95250"/>
                  <wp:effectExtent l="0" t="0" r="0" b="0"/>
                  <wp:docPr id="9" name="Picture 9"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t>Optional</w:t>
            </w:r>
          </w:p>
        </w:tc>
        <w:tc>
          <w:tcPr>
            <w:tcW w:w="1985" w:type="dxa"/>
            <w:shd w:val="clear" w:color="auto" w:fill="auto"/>
          </w:tcPr>
          <w:p w14:paraId="7C47F1EA"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The date that the reaction was clinically recorded/asserted. This will often equate to the date of onset of the reaction</w:t>
            </w:r>
            <w:r>
              <w:rPr>
                <w:rFonts w:asciiTheme="minorHAnsi" w:hAnsiTheme="minorHAnsi" w:cstheme="minorHAnsi"/>
                <w:color w:val="000000"/>
                <w:sz w:val="18"/>
                <w:szCs w:val="17"/>
                <w:lang w:eastAsia="en-GB"/>
              </w:rPr>
              <w:t xml:space="preserve">, </w:t>
            </w:r>
            <w:r w:rsidRPr="001D6C3D">
              <w:rPr>
                <w:rFonts w:asciiTheme="minorHAnsi" w:hAnsiTheme="minorHAnsi" w:cstheme="minorHAnsi"/>
                <w:color w:val="000000"/>
                <w:sz w:val="18"/>
                <w:szCs w:val="17"/>
                <w:lang w:eastAsia="en-GB"/>
              </w:rPr>
              <w:t>but this may not be wholly clear from source data.</w:t>
            </w:r>
          </w:p>
        </w:tc>
        <w:tc>
          <w:tcPr>
            <w:tcW w:w="6095" w:type="dxa"/>
            <w:shd w:val="clear" w:color="auto" w:fill="auto"/>
          </w:tcPr>
          <w:p w14:paraId="6F1899A3"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 </w:t>
            </w:r>
          </w:p>
        </w:tc>
      </w:tr>
      <w:tr w:rsidR="00577824" w:rsidRPr="00E44424" w14:paraId="764F7B90" w14:textId="77777777" w:rsidTr="000E608B">
        <w:tc>
          <w:tcPr>
            <w:tcW w:w="1838" w:type="dxa"/>
            <w:shd w:val="clear" w:color="auto" w:fill="auto"/>
          </w:tcPr>
          <w:p w14:paraId="0E7F27C3"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Severity</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38E97DE0" wp14:editId="708EDD6E">
                  <wp:extent cx="152400" cy="152400"/>
                  <wp:effectExtent l="0" t="0" r="0" b="0"/>
                  <wp:docPr id="8" name="Picture 8"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Coded Text </w:t>
            </w:r>
            <w:r w:rsidRPr="001D6C3D">
              <w:rPr>
                <w:rFonts w:asciiTheme="minorHAnsi" w:hAnsiTheme="minorHAnsi" w:cstheme="minorHAnsi"/>
                <w:noProof/>
                <w:color w:val="0000FF"/>
                <w:sz w:val="18"/>
                <w:szCs w:val="17"/>
                <w:lang w:eastAsia="en-GB"/>
              </w:rPr>
              <w:drawing>
                <wp:inline distT="0" distB="0" distL="0" distR="0" wp14:anchorId="33D1BAC0" wp14:editId="0FF61FE9">
                  <wp:extent cx="95250" cy="95250"/>
                  <wp:effectExtent l="0" t="0" r="0" b="0"/>
                  <wp:docPr id="7" name="Picture 7"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t>Optional</w:t>
            </w:r>
            <w:r w:rsidRPr="001D6C3D">
              <w:rPr>
                <w:rFonts w:asciiTheme="minorHAnsi" w:hAnsiTheme="minorHAnsi" w:cstheme="minorHAnsi"/>
                <w:color w:val="8D8D8D"/>
                <w:sz w:val="18"/>
                <w:szCs w:val="17"/>
                <w:lang w:eastAsia="en-GB"/>
              </w:rPr>
              <w:b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272141005 | Severities (qualifier value)]</w:t>
            </w:r>
          </w:p>
        </w:tc>
        <w:tc>
          <w:tcPr>
            <w:tcW w:w="1985" w:type="dxa"/>
            <w:shd w:val="clear" w:color="auto" w:fill="auto"/>
          </w:tcPr>
          <w:p w14:paraId="3F2519F0"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The severity of the reaction.</w:t>
            </w:r>
          </w:p>
        </w:tc>
        <w:tc>
          <w:tcPr>
            <w:tcW w:w="6095" w:type="dxa"/>
            <w:shd w:val="clear" w:color="auto" w:fill="auto"/>
          </w:tcPr>
          <w:p w14:paraId="0D60EB93" w14:textId="77777777" w:rsidR="00577824" w:rsidRPr="001D6C3D" w:rsidRDefault="00577824" w:rsidP="00577824">
            <w:pPr>
              <w:numPr>
                <w:ilvl w:val="0"/>
                <w:numId w:val="13"/>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 xml:space="preserve">Mild </w:t>
            </w:r>
            <w:r w:rsidRPr="001D6C3D">
              <w:rPr>
                <w:rFonts w:asciiTheme="minorHAnsi" w:hAnsiTheme="minorHAnsi" w:cstheme="minorHAnsi"/>
                <w:color w:val="8D8D8D"/>
                <w:sz w:val="18"/>
                <w:szCs w:val="17"/>
                <w:lang w:eastAsia="en-GB"/>
              </w:rP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255604002] (Mild (qualifier value))</w:t>
            </w:r>
          </w:p>
          <w:p w14:paraId="5A3A22A5" w14:textId="77777777" w:rsidR="00577824" w:rsidRPr="001D6C3D" w:rsidRDefault="00577824" w:rsidP="00577824">
            <w:pPr>
              <w:numPr>
                <w:ilvl w:val="0"/>
                <w:numId w:val="13"/>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Moderate</w:t>
            </w:r>
            <w:r w:rsidRPr="001D6C3D">
              <w:rPr>
                <w:rFonts w:asciiTheme="minorHAnsi" w:hAnsiTheme="minorHAnsi" w:cstheme="minorHAnsi"/>
                <w:color w:val="8D8D8D"/>
                <w:sz w:val="18"/>
                <w:szCs w:val="17"/>
                <w:lang w:eastAsia="en-GB"/>
              </w:rPr>
              <w:t> [</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6736007] (Moderate (severity modifier) (qualifier value))</w:t>
            </w:r>
          </w:p>
          <w:p w14:paraId="034FEF48" w14:textId="77777777" w:rsidR="00577824" w:rsidRPr="001D6C3D" w:rsidRDefault="00577824" w:rsidP="00577824">
            <w:pPr>
              <w:numPr>
                <w:ilvl w:val="0"/>
                <w:numId w:val="13"/>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 xml:space="preserve">Severe </w:t>
            </w:r>
            <w:r w:rsidRPr="001D6C3D">
              <w:rPr>
                <w:rFonts w:asciiTheme="minorHAnsi" w:hAnsiTheme="minorHAnsi" w:cstheme="minorHAnsi"/>
                <w:color w:val="8D8D8D"/>
                <w:sz w:val="18"/>
                <w:szCs w:val="17"/>
                <w:lang w:eastAsia="en-GB"/>
              </w:rP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24484000] (Severe (severity modifier) (qualifier value))</w:t>
            </w:r>
          </w:p>
          <w:p w14:paraId="2C9B60BE" w14:textId="77777777" w:rsidR="00577824" w:rsidRPr="001D6C3D" w:rsidRDefault="00577824" w:rsidP="00577824">
            <w:pPr>
              <w:numPr>
                <w:ilvl w:val="0"/>
                <w:numId w:val="13"/>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t>Life-threatening</w:t>
            </w:r>
            <w:r w:rsidRPr="001D6C3D">
              <w:rPr>
                <w:rFonts w:asciiTheme="minorHAnsi" w:hAnsiTheme="minorHAnsi" w:cstheme="minorHAnsi"/>
                <w:color w:val="8D8D8D"/>
                <w:sz w:val="18"/>
                <w:szCs w:val="17"/>
                <w:lang w:eastAsia="en-GB"/>
              </w:rPr>
              <w:t> [</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442452003] (Life threatening severity (qualifier value))</w:t>
            </w:r>
          </w:p>
          <w:p w14:paraId="5FDB2CB8"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Fatal</w:t>
            </w:r>
            <w:r w:rsidRPr="001D6C3D">
              <w:rPr>
                <w:rFonts w:asciiTheme="minorHAnsi" w:hAnsiTheme="minorHAnsi" w:cstheme="minorHAnsi"/>
                <w:color w:val="8D8D8D"/>
                <w:sz w:val="18"/>
                <w:szCs w:val="17"/>
                <w:lang w:eastAsia="en-GB"/>
              </w:rPr>
              <w:t> [</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399166001] (Fatal severity (qualifier value))</w:t>
            </w:r>
          </w:p>
        </w:tc>
      </w:tr>
      <w:tr w:rsidR="00577824" w:rsidRPr="00E44424" w14:paraId="575B8D7E" w14:textId="77777777" w:rsidTr="000E608B">
        <w:tc>
          <w:tcPr>
            <w:tcW w:w="1838" w:type="dxa"/>
            <w:shd w:val="clear" w:color="auto" w:fill="auto"/>
          </w:tcPr>
          <w:p w14:paraId="624432A7"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t>Certainty</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7032DE0C" wp14:editId="6A7D593C">
                  <wp:extent cx="152400" cy="152400"/>
                  <wp:effectExtent l="0" t="0" r="0" b="0"/>
                  <wp:docPr id="6" name="Picture 6"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Coded Text </w:t>
            </w:r>
            <w:r w:rsidRPr="001D6C3D">
              <w:rPr>
                <w:rFonts w:asciiTheme="minorHAnsi" w:hAnsiTheme="minorHAnsi" w:cstheme="minorHAnsi"/>
                <w:noProof/>
                <w:color w:val="0000FF"/>
                <w:sz w:val="18"/>
                <w:szCs w:val="17"/>
                <w:lang w:eastAsia="en-GB"/>
              </w:rPr>
              <w:drawing>
                <wp:inline distT="0" distB="0" distL="0" distR="0" wp14:anchorId="65D53BC5" wp14:editId="4062E0C3">
                  <wp:extent cx="95250" cy="95250"/>
                  <wp:effectExtent l="0" t="0" r="0" b="0"/>
                  <wp:docPr id="4" name="Picture 4"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r>
            <w:r w:rsidRPr="001D6C3D">
              <w:rPr>
                <w:rFonts w:asciiTheme="minorHAnsi" w:hAnsiTheme="minorHAnsi" w:cstheme="minorHAnsi"/>
                <w:color w:val="8D8D8D"/>
                <w:sz w:val="18"/>
                <w:szCs w:val="17"/>
                <w:lang w:eastAsia="en-GB"/>
              </w:rPr>
              <w:lastRenderedPageBreak/>
              <w:t>Optional</w:t>
            </w:r>
            <w:r w:rsidRPr="001D6C3D">
              <w:rPr>
                <w:rFonts w:asciiTheme="minorHAnsi" w:hAnsiTheme="minorHAnsi" w:cstheme="minorHAnsi"/>
                <w:color w:val="8D8D8D"/>
                <w:sz w:val="18"/>
                <w:szCs w:val="17"/>
                <w:lang w:eastAsia="en-GB"/>
              </w:rPr>
              <w:b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255544004 | Certainties (qualifier value)]</w:t>
            </w:r>
          </w:p>
        </w:tc>
        <w:tc>
          <w:tcPr>
            <w:tcW w:w="1985" w:type="dxa"/>
            <w:shd w:val="clear" w:color="auto" w:fill="auto"/>
          </w:tcPr>
          <w:p w14:paraId="6D582DDF"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lastRenderedPageBreak/>
              <w:t xml:space="preserve">The certainty with which the reaction is </w:t>
            </w:r>
            <w:r w:rsidRPr="001D6C3D">
              <w:rPr>
                <w:rFonts w:asciiTheme="minorHAnsi" w:hAnsiTheme="minorHAnsi" w:cstheme="minorHAnsi"/>
                <w:color w:val="000000"/>
                <w:sz w:val="18"/>
                <w:szCs w:val="17"/>
                <w:lang w:eastAsia="en-GB"/>
              </w:rPr>
              <w:lastRenderedPageBreak/>
              <w:t xml:space="preserve">deemed to be due to allergy to the </w:t>
            </w:r>
            <w:r>
              <w:rPr>
                <w:rFonts w:asciiTheme="minorHAnsi" w:hAnsiTheme="minorHAnsi" w:cstheme="minorHAnsi"/>
                <w:color w:val="000000"/>
                <w:sz w:val="18"/>
                <w:szCs w:val="17"/>
                <w:lang w:eastAsia="en-GB"/>
              </w:rPr>
              <w:t>c</w:t>
            </w:r>
            <w:r w:rsidRPr="001D6C3D">
              <w:rPr>
                <w:rFonts w:asciiTheme="minorHAnsi" w:hAnsiTheme="minorHAnsi" w:cstheme="minorHAnsi"/>
                <w:color w:val="000000"/>
                <w:sz w:val="18"/>
                <w:szCs w:val="17"/>
                <w:lang w:eastAsia="en-GB"/>
              </w:rPr>
              <w:t>ausative agent.</w:t>
            </w:r>
            <w:r w:rsidRPr="001D6C3D">
              <w:rPr>
                <w:rFonts w:asciiTheme="minorHAnsi" w:hAnsiTheme="minorHAnsi" w:cstheme="minorHAnsi"/>
                <w:color w:val="000000"/>
                <w:sz w:val="18"/>
                <w:szCs w:val="17"/>
                <w:lang w:eastAsia="en-GB"/>
              </w:rPr>
              <w:br/>
            </w:r>
          </w:p>
        </w:tc>
        <w:tc>
          <w:tcPr>
            <w:tcW w:w="6095" w:type="dxa"/>
            <w:shd w:val="clear" w:color="auto" w:fill="auto"/>
          </w:tcPr>
          <w:p w14:paraId="6AE4B1DB" w14:textId="77777777" w:rsidR="00577824" w:rsidRPr="001D6C3D" w:rsidRDefault="00577824" w:rsidP="00577824">
            <w:pPr>
              <w:numPr>
                <w:ilvl w:val="0"/>
                <w:numId w:val="14"/>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lastRenderedPageBreak/>
              <w:t>Unlikely</w:t>
            </w:r>
            <w:r w:rsidRPr="001D6C3D">
              <w:rPr>
                <w:rFonts w:asciiTheme="minorHAnsi" w:hAnsiTheme="minorHAnsi" w:cstheme="minorHAnsi"/>
                <w:color w:val="8D8D8D"/>
                <w:sz w:val="18"/>
                <w:szCs w:val="17"/>
                <w:lang w:eastAsia="en-GB"/>
              </w:rPr>
              <w:t> [</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1491118016](</w:t>
            </w:r>
            <w:r w:rsidRPr="001D6C3D">
              <w:rPr>
                <w:rFonts w:asciiTheme="minorHAnsi" w:hAnsiTheme="minorHAnsi" w:cstheme="minorHAnsi"/>
                <w:color w:val="333333"/>
                <w:sz w:val="18"/>
                <w:szCs w:val="18"/>
                <w:shd w:val="clear" w:color="auto" w:fill="FFFFFF"/>
              </w:rPr>
              <w:t xml:space="preserve"> </w:t>
            </w:r>
            <w:r w:rsidRPr="001D6C3D">
              <w:rPr>
                <w:rFonts w:asciiTheme="minorHAnsi" w:hAnsiTheme="minorHAnsi" w:cstheme="minorHAnsi"/>
                <w:bCs/>
                <w:color w:val="8D8D8D"/>
                <w:sz w:val="18"/>
                <w:szCs w:val="17"/>
                <w:lang w:eastAsia="en-GB"/>
              </w:rPr>
              <w:t>Improbable diagnosis (qualifier value))</w:t>
            </w:r>
          </w:p>
          <w:p w14:paraId="6288037C" w14:textId="77777777" w:rsidR="00577824" w:rsidRPr="001D6C3D" w:rsidRDefault="00577824" w:rsidP="00577824">
            <w:pPr>
              <w:numPr>
                <w:ilvl w:val="0"/>
                <w:numId w:val="14"/>
              </w:numPr>
              <w:spacing w:after="0"/>
              <w:textboxTightWrap w:val="none"/>
              <w:rPr>
                <w:rFonts w:asciiTheme="minorHAnsi" w:hAnsiTheme="minorHAnsi" w:cstheme="minorHAnsi"/>
                <w:color w:val="000000"/>
                <w:sz w:val="18"/>
                <w:szCs w:val="17"/>
                <w:lang w:eastAsia="en-GB"/>
              </w:rPr>
            </w:pPr>
            <w:r w:rsidRPr="001D6C3D">
              <w:rPr>
                <w:rFonts w:asciiTheme="minorHAnsi" w:hAnsiTheme="minorHAnsi" w:cstheme="minorHAnsi"/>
                <w:color w:val="000000"/>
                <w:sz w:val="18"/>
                <w:szCs w:val="17"/>
                <w:lang w:eastAsia="en-GB"/>
              </w:rPr>
              <w:lastRenderedPageBreak/>
              <w:t>Likely</w:t>
            </w:r>
            <w:r w:rsidRPr="001D6C3D">
              <w:rPr>
                <w:rFonts w:asciiTheme="minorHAnsi" w:hAnsiTheme="minorHAnsi" w:cstheme="minorHAnsi"/>
                <w:color w:val="8D8D8D"/>
                <w:sz w:val="18"/>
                <w:szCs w:val="17"/>
                <w:lang w:eastAsia="en-GB"/>
              </w:rPr>
              <w:t> [</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5961011]( Improbable diagnosis (qualifier value))</w:t>
            </w:r>
          </w:p>
          <w:p w14:paraId="16FA9FAA" w14:textId="77777777" w:rsidR="00577824" w:rsidRPr="00517D7E" w:rsidRDefault="00577824" w:rsidP="00577824">
            <w:pPr>
              <w:numPr>
                <w:ilvl w:val="0"/>
                <w:numId w:val="14"/>
              </w:numPr>
              <w:spacing w:after="0"/>
              <w:textboxTightWrap w:val="none"/>
              <w:rPr>
                <w:rFonts w:asciiTheme="minorHAnsi" w:hAnsiTheme="minorHAnsi" w:cstheme="minorHAnsi"/>
                <w:sz w:val="18"/>
              </w:rPr>
            </w:pPr>
            <w:r w:rsidRPr="001D6C3D">
              <w:rPr>
                <w:rFonts w:asciiTheme="minorHAnsi" w:hAnsiTheme="minorHAnsi" w:cstheme="minorHAnsi"/>
                <w:color w:val="000000"/>
                <w:sz w:val="18"/>
                <w:szCs w:val="17"/>
                <w:lang w:eastAsia="en-GB"/>
              </w:rPr>
              <w:t>Certain</w:t>
            </w:r>
            <w:r w:rsidRPr="001D6C3D">
              <w:rPr>
                <w:rFonts w:asciiTheme="minorHAnsi" w:hAnsiTheme="minorHAnsi" w:cstheme="minorHAnsi"/>
                <w:color w:val="8D8D8D"/>
                <w:sz w:val="18"/>
                <w:szCs w:val="17"/>
                <w:lang w:eastAsia="en-GB"/>
              </w:rPr>
              <w:t> [The agent is thought to be certain to have caused the reaction but this has not been confirmed by challenge testing.]</w:t>
            </w:r>
            <w:r w:rsidRPr="001D6C3D">
              <w:rPr>
                <w:rFonts w:asciiTheme="minorHAnsi" w:hAnsiTheme="minorHAnsi" w:cstheme="minorHAnsi"/>
                <w:color w:val="000000"/>
                <w:sz w:val="18"/>
                <w:szCs w:val="17"/>
                <w:lang w:eastAsia="en-GB"/>
              </w:rPr>
              <w:br/>
            </w:r>
            <w:r w:rsidRPr="001D6C3D">
              <w:rPr>
                <w:rFonts w:asciiTheme="minorHAnsi" w:hAnsiTheme="minorHAnsi" w:cstheme="minorHAnsi"/>
                <w:color w:val="8D8D8D"/>
                <w:sz w:val="18"/>
                <w:szCs w:val="17"/>
                <w:lang w:eastAsia="en-GB"/>
              </w:rP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255545003] (Definite (qualifier value))</w:t>
            </w:r>
          </w:p>
          <w:p w14:paraId="27CBFAA6" w14:textId="77777777" w:rsidR="00577824" w:rsidRPr="001D6C3D" w:rsidRDefault="00577824" w:rsidP="00577824">
            <w:pPr>
              <w:numPr>
                <w:ilvl w:val="0"/>
                <w:numId w:val="14"/>
              </w:numPr>
              <w:spacing w:after="0"/>
              <w:textboxTightWrap w:val="none"/>
              <w:rPr>
                <w:rFonts w:asciiTheme="minorHAnsi" w:hAnsiTheme="minorHAnsi" w:cstheme="minorHAnsi"/>
                <w:sz w:val="18"/>
              </w:rPr>
            </w:pPr>
            <w:r w:rsidRPr="001D6C3D">
              <w:rPr>
                <w:rFonts w:asciiTheme="minorHAnsi" w:hAnsiTheme="minorHAnsi" w:cstheme="minorHAnsi"/>
                <w:color w:val="000000"/>
                <w:sz w:val="18"/>
                <w:szCs w:val="17"/>
                <w:lang w:eastAsia="en-GB"/>
              </w:rPr>
              <w:t>Confirmed by challenge testing</w:t>
            </w:r>
            <w:r>
              <w:rPr>
                <w:rFonts w:asciiTheme="minorHAnsi" w:hAnsiTheme="minorHAnsi" w:cstheme="minorHAnsi"/>
                <w:color w:val="000000"/>
                <w:sz w:val="18"/>
                <w:szCs w:val="17"/>
                <w:lang w:eastAsia="en-GB"/>
              </w:rPr>
              <w:t xml:space="preserve"> </w:t>
            </w:r>
            <w:r w:rsidRPr="001D6C3D">
              <w:rPr>
                <w:rFonts w:asciiTheme="minorHAnsi" w:hAnsiTheme="minorHAnsi" w:cstheme="minorHAnsi"/>
                <w:color w:val="8D8D8D"/>
                <w:sz w:val="18"/>
                <w:szCs w:val="17"/>
                <w:lang w:eastAsia="en-GB"/>
              </w:rPr>
              <w:t>[The reaction to the agent has been confirmed by challenge testing or other concrete evidence.]</w:t>
            </w:r>
            <w:r w:rsidRPr="001D6C3D">
              <w:rPr>
                <w:rFonts w:asciiTheme="minorHAnsi" w:hAnsiTheme="minorHAnsi" w:cstheme="minorHAnsi"/>
                <w:color w:val="000000"/>
                <w:sz w:val="18"/>
                <w:szCs w:val="17"/>
                <w:lang w:eastAsia="en-GB"/>
              </w:rPr>
              <w:br/>
            </w:r>
            <w:r w:rsidRPr="001D6C3D">
              <w:rPr>
                <w:rFonts w:asciiTheme="minorHAnsi" w:hAnsiTheme="minorHAnsi" w:cstheme="minorHAnsi"/>
                <w:color w:val="8D8D8D"/>
                <w:sz w:val="18"/>
                <w:szCs w:val="17"/>
                <w:lang w:eastAsia="en-GB"/>
              </w:rPr>
              <w:t>[</w:t>
            </w:r>
            <w:r w:rsidRPr="001D6C3D">
              <w:rPr>
                <w:rFonts w:asciiTheme="minorHAnsi" w:hAnsiTheme="minorHAnsi" w:cstheme="minorHAnsi"/>
                <w:b/>
                <w:bCs/>
                <w:color w:val="8D8D8D"/>
                <w:sz w:val="18"/>
                <w:szCs w:val="17"/>
                <w:lang w:eastAsia="en-GB"/>
              </w:rPr>
              <w:t>SNOMED-</w:t>
            </w:r>
            <w:proofErr w:type="gramStart"/>
            <w:r w:rsidRPr="001D6C3D">
              <w:rPr>
                <w:rFonts w:asciiTheme="minorHAnsi" w:hAnsiTheme="minorHAnsi" w:cstheme="minorHAnsi"/>
                <w:b/>
                <w:bCs/>
                <w:color w:val="8D8D8D"/>
                <w:sz w:val="18"/>
                <w:szCs w:val="17"/>
                <w:lang w:eastAsia="en-GB"/>
              </w:rPr>
              <w:t>CT</w:t>
            </w:r>
            <w:r w:rsidRPr="001D6C3D">
              <w:rPr>
                <w:rFonts w:asciiTheme="minorHAnsi" w:hAnsiTheme="minorHAnsi" w:cstheme="minorHAnsi"/>
                <w:color w:val="8D8D8D"/>
                <w:sz w:val="18"/>
                <w:szCs w:val="17"/>
                <w:lang w:eastAsia="en-GB"/>
              </w:rPr>
              <w:t>::</w:t>
            </w:r>
            <w:proofErr w:type="gramEnd"/>
            <w:r w:rsidRPr="001D6C3D">
              <w:rPr>
                <w:rFonts w:asciiTheme="minorHAnsi" w:hAnsiTheme="minorHAnsi" w:cstheme="minorHAnsi"/>
                <w:color w:val="8D8D8D"/>
                <w:sz w:val="18"/>
                <w:szCs w:val="17"/>
                <w:lang w:eastAsia="en-GB"/>
              </w:rPr>
              <w:t>410605003] (Confirmed present (qualifier value))</w:t>
            </w:r>
          </w:p>
        </w:tc>
      </w:tr>
      <w:tr w:rsidR="00577824" w:rsidRPr="00E44424" w14:paraId="4DE6A06B" w14:textId="77777777" w:rsidTr="000E608B">
        <w:tc>
          <w:tcPr>
            <w:tcW w:w="1838" w:type="dxa"/>
            <w:shd w:val="clear" w:color="auto" w:fill="auto"/>
          </w:tcPr>
          <w:p w14:paraId="6E4FF6C8" w14:textId="77777777" w:rsidR="00577824" w:rsidRPr="001D6C3D" w:rsidRDefault="00577824" w:rsidP="000E608B">
            <w:pPr>
              <w:pStyle w:val="StyleLeft165cm"/>
              <w:rPr>
                <w:rFonts w:asciiTheme="minorHAnsi" w:hAnsiTheme="minorHAnsi" w:cstheme="minorHAnsi"/>
                <w:sz w:val="18"/>
                <w:lang w:eastAsia="en-GB"/>
              </w:rPr>
            </w:pPr>
            <w:r w:rsidRPr="001D6C3D">
              <w:rPr>
                <w:rFonts w:asciiTheme="minorHAnsi" w:hAnsiTheme="minorHAnsi" w:cstheme="minorHAnsi"/>
                <w:b/>
                <w:bCs/>
                <w:color w:val="000000"/>
                <w:sz w:val="18"/>
                <w:szCs w:val="17"/>
                <w:lang w:eastAsia="en-GB"/>
              </w:rPr>
              <w:lastRenderedPageBreak/>
              <w:t>Comment</w:t>
            </w:r>
            <w:r w:rsidRPr="001D6C3D">
              <w:rPr>
                <w:rFonts w:asciiTheme="minorHAnsi" w:hAnsiTheme="minorHAnsi" w:cstheme="minorHAnsi"/>
                <w:color w:val="000000"/>
                <w:sz w:val="18"/>
                <w:szCs w:val="17"/>
                <w:lang w:eastAsia="en-GB"/>
              </w:rPr>
              <w:br/>
            </w:r>
            <w:r w:rsidRPr="001D6C3D">
              <w:rPr>
                <w:rFonts w:asciiTheme="minorHAnsi" w:hAnsiTheme="minorHAnsi" w:cstheme="minorHAnsi"/>
                <w:noProof/>
                <w:color w:val="8D8D8D"/>
                <w:sz w:val="18"/>
                <w:szCs w:val="17"/>
                <w:lang w:eastAsia="en-GB"/>
              </w:rPr>
              <w:drawing>
                <wp:inline distT="0" distB="0" distL="0" distR="0" wp14:anchorId="2C557DC5" wp14:editId="66C6BBBE">
                  <wp:extent cx="152400" cy="152400"/>
                  <wp:effectExtent l="0" t="0" r="0" b="0"/>
                  <wp:docPr id="13" name="Picture 13" descr="http://ckm.apperta.org/ckm/pics/rm/small/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km.apperta.org/ckm/pics/rm/small/tex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t> Text </w:t>
            </w:r>
            <w:r w:rsidRPr="001D6C3D">
              <w:rPr>
                <w:rFonts w:asciiTheme="minorHAnsi" w:hAnsiTheme="minorHAnsi" w:cstheme="minorHAnsi"/>
                <w:noProof/>
                <w:color w:val="0000FF"/>
                <w:sz w:val="18"/>
                <w:szCs w:val="17"/>
                <w:lang w:eastAsia="en-GB"/>
              </w:rPr>
              <w:drawing>
                <wp:inline distT="0" distB="0" distL="0" distR="0" wp14:anchorId="711D454E" wp14:editId="0AF8C703">
                  <wp:extent cx="95250" cy="95250"/>
                  <wp:effectExtent l="0" t="0" r="0" b="0"/>
                  <wp:docPr id="14" name="Picture 14" descr="http://ckm.apperta.org/ckm/pics/menu/more_inf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km.apperta.org/ckm/pics/menu/more_info.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D6C3D">
              <w:rPr>
                <w:rFonts w:asciiTheme="minorHAnsi" w:hAnsiTheme="minorHAnsi" w:cstheme="minorHAnsi"/>
                <w:color w:val="8D8D8D"/>
                <w:sz w:val="18"/>
                <w:szCs w:val="17"/>
                <w:lang w:eastAsia="en-GB"/>
              </w:rPr>
              <w:br/>
              <w:t>Optional</w:t>
            </w:r>
          </w:p>
        </w:tc>
        <w:tc>
          <w:tcPr>
            <w:tcW w:w="1985" w:type="dxa"/>
            <w:shd w:val="clear" w:color="auto" w:fill="auto"/>
          </w:tcPr>
          <w:p w14:paraId="0CBB58F6" w14:textId="77777777" w:rsidR="00577824" w:rsidRPr="001D6C3D" w:rsidRDefault="00577824" w:rsidP="000E608B">
            <w:pPr>
              <w:rPr>
                <w:rFonts w:asciiTheme="minorHAnsi" w:hAnsiTheme="minorHAnsi" w:cstheme="minorHAnsi"/>
                <w:sz w:val="18"/>
              </w:rPr>
            </w:pPr>
            <w:r w:rsidRPr="001D6C3D">
              <w:rPr>
                <w:rFonts w:asciiTheme="minorHAnsi" w:hAnsiTheme="minorHAnsi" w:cstheme="minorHAnsi"/>
                <w:color w:val="000000"/>
                <w:sz w:val="18"/>
                <w:szCs w:val="17"/>
                <w:lang w:eastAsia="en-GB"/>
              </w:rPr>
              <w:t>Any additional comment or clarification about the adverse reaction.</w:t>
            </w:r>
          </w:p>
        </w:tc>
        <w:tc>
          <w:tcPr>
            <w:tcW w:w="6095" w:type="dxa"/>
            <w:shd w:val="clear" w:color="auto" w:fill="auto"/>
          </w:tcPr>
          <w:p w14:paraId="0A50840D" w14:textId="77777777" w:rsidR="00577824" w:rsidRPr="001D6C3D" w:rsidRDefault="00577824" w:rsidP="000E608B">
            <w:pPr>
              <w:rPr>
                <w:rFonts w:asciiTheme="minorHAnsi" w:hAnsiTheme="minorHAnsi" w:cstheme="minorHAnsi"/>
                <w:sz w:val="18"/>
              </w:rPr>
            </w:pPr>
          </w:p>
        </w:tc>
      </w:tr>
    </w:tbl>
    <w:p w14:paraId="402671C0" w14:textId="77777777" w:rsidR="00615AC5" w:rsidRPr="00615AC5" w:rsidRDefault="00615AC5" w:rsidP="00615AC5"/>
    <w:p w14:paraId="1DE6A001" w14:textId="2415FF89" w:rsidR="00615AC5" w:rsidRDefault="00233F29" w:rsidP="00233F29">
      <w:pPr>
        <w:pStyle w:val="Heading1"/>
      </w:pPr>
      <w:bookmarkStart w:id="13" w:name="_Toc525901752"/>
      <w:r>
        <w:t>Requirements</w:t>
      </w:r>
      <w:bookmarkEnd w:id="13"/>
    </w:p>
    <w:p w14:paraId="7AF8E4E9" w14:textId="55873B3A" w:rsidR="00233F29" w:rsidRDefault="00233F29" w:rsidP="00233F29">
      <w:pPr>
        <w:spacing w:after="0"/>
        <w:rPr>
          <w:rFonts w:cs="Arial"/>
        </w:rPr>
      </w:pPr>
      <w:r w:rsidRPr="002343AF">
        <w:rPr>
          <w:rFonts w:cs="Arial"/>
        </w:rPr>
        <w:t xml:space="preserve">There are 3 areas that the requirements for implementing the allergy archetype will impact within the clinical system and each is discussed in the following sections. In addition to these requirements there is also guidance on how to implement the allergy archetype in both </w:t>
      </w:r>
      <w:r w:rsidR="007560AF">
        <w:rPr>
          <w:rFonts w:cs="Arial"/>
        </w:rPr>
        <w:t>document AA2</w:t>
      </w:r>
      <w:r w:rsidR="009D34AD">
        <w:rPr>
          <w:rFonts w:cs="Arial"/>
        </w:rPr>
        <w:t>:</w:t>
      </w:r>
      <w:r w:rsidR="007560AF">
        <w:rPr>
          <w:rFonts w:cs="Arial"/>
        </w:rPr>
        <w:t xml:space="preserve"> ‘</w:t>
      </w:r>
      <w:r w:rsidR="007560AF" w:rsidRPr="007560AF">
        <w:rPr>
          <w:rFonts w:cs="Arial"/>
        </w:rPr>
        <w:t>Implementing the Allergy Archetype in the GP2GP Message</w:t>
      </w:r>
      <w:r w:rsidR="007560AF">
        <w:rPr>
          <w:rFonts w:cs="Arial"/>
        </w:rPr>
        <w:t>’</w:t>
      </w:r>
      <w:r w:rsidR="009D34AD">
        <w:rPr>
          <w:rFonts w:cs="Arial"/>
        </w:rPr>
        <w:t xml:space="preserve"> and AA3</w:t>
      </w:r>
      <w:r w:rsidR="00E01174">
        <w:rPr>
          <w:rFonts w:cs="Arial"/>
        </w:rPr>
        <w:t>:</w:t>
      </w:r>
      <w:r w:rsidR="009D34AD">
        <w:rPr>
          <w:rFonts w:cs="Arial"/>
        </w:rPr>
        <w:t xml:space="preserve"> ‘</w:t>
      </w:r>
      <w:r w:rsidR="009D34AD" w:rsidRPr="009D34AD">
        <w:rPr>
          <w:rFonts w:cs="Arial"/>
        </w:rPr>
        <w:t xml:space="preserve">Implementing the Allergy Archetype in </w:t>
      </w:r>
      <w:r w:rsidR="009D34AD">
        <w:rPr>
          <w:rFonts w:cs="Arial"/>
        </w:rPr>
        <w:t>FHIR’</w:t>
      </w:r>
      <w:r w:rsidRPr="002343AF">
        <w:rPr>
          <w:rFonts w:cs="Arial"/>
        </w:rPr>
        <w:t>. It should be noted that these documents contain further requirements on how to populate each of the messages.</w:t>
      </w:r>
    </w:p>
    <w:p w14:paraId="33950441" w14:textId="401C18FB" w:rsidR="000D3D12" w:rsidRDefault="000D3D12" w:rsidP="00577824">
      <w:pPr>
        <w:pStyle w:val="Numberedlist"/>
        <w:numPr>
          <w:ilvl w:val="0"/>
          <w:numId w:val="0"/>
        </w:numPr>
        <w:ind w:left="360" w:hanging="360"/>
      </w:pPr>
    </w:p>
    <w:p w14:paraId="10F72C07" w14:textId="6147ACD1" w:rsidR="00C155F6" w:rsidRDefault="00C155F6" w:rsidP="00C155F6">
      <w:pPr>
        <w:pStyle w:val="Heading2"/>
      </w:pPr>
      <w:bookmarkStart w:id="14" w:name="_Toc525901753"/>
      <w:r>
        <w:t>Causative agent subset mapping</w:t>
      </w:r>
      <w:bookmarkEnd w:id="14"/>
    </w:p>
    <w:p w14:paraId="2A8F7ED6" w14:textId="77777777" w:rsidR="00C155F6" w:rsidRDefault="00C155F6" w:rsidP="00C155F6">
      <w:pPr>
        <w:spacing w:after="0"/>
      </w:pPr>
      <w:r>
        <w:t>A SNOMED reference set has been developed that contains a list of the possible causative agents for drug allergies and intolerances. To implement the allergy archetype, a clinical system must be able to understand this list. To do this the clinical system must be able to use the reference set directly or map it to the local list of drugs or drug dictionary that is used within the clinical system.</w:t>
      </w:r>
    </w:p>
    <w:p w14:paraId="5E01B447" w14:textId="77777777" w:rsidR="00C155F6" w:rsidRDefault="00C155F6" w:rsidP="00C155F6"/>
    <w:tbl>
      <w:tblPr>
        <w:tblStyle w:val="TableGrid"/>
        <w:tblW w:w="0" w:type="auto"/>
        <w:tblLook w:val="04A0" w:firstRow="1" w:lastRow="0" w:firstColumn="1" w:lastColumn="0" w:noHBand="0" w:noVBand="1"/>
      </w:tblPr>
      <w:tblGrid>
        <w:gridCol w:w="1510"/>
        <w:gridCol w:w="8344"/>
      </w:tblGrid>
      <w:tr w:rsidR="00C155F6" w14:paraId="4F7C62D0" w14:textId="77777777" w:rsidTr="000E608B">
        <w:tc>
          <w:tcPr>
            <w:tcW w:w="1526" w:type="dxa"/>
          </w:tcPr>
          <w:p w14:paraId="026DEE26" w14:textId="77777777" w:rsidR="00C155F6" w:rsidRDefault="00C155F6" w:rsidP="000E608B">
            <w:r>
              <w:t>DAA01</w:t>
            </w:r>
          </w:p>
        </w:tc>
        <w:tc>
          <w:tcPr>
            <w:tcW w:w="8554" w:type="dxa"/>
          </w:tcPr>
          <w:p w14:paraId="4E55DFED" w14:textId="4F70F91A" w:rsidR="00C155F6" w:rsidRPr="00020AA6" w:rsidRDefault="00C155F6" w:rsidP="000E608B">
            <w:r>
              <w:t xml:space="preserve">The clinical system </w:t>
            </w:r>
            <w:r>
              <w:rPr>
                <w:b/>
              </w:rPr>
              <w:t>MUST</w:t>
            </w:r>
            <w:r>
              <w:t xml:space="preserve"> support a mapping table to the bounded list of the causative agent subset</w:t>
            </w:r>
            <w:r w:rsidR="00D026E9">
              <w:t xml:space="preserve"> </w:t>
            </w:r>
            <w:r w:rsidR="00D026E9" w:rsidRPr="00D026E9">
              <w:t>including all inactive concepts and descriptions that it contains</w:t>
            </w:r>
            <w:r>
              <w:t>.</w:t>
            </w:r>
          </w:p>
        </w:tc>
      </w:tr>
    </w:tbl>
    <w:p w14:paraId="71E79CA0" w14:textId="3626EDFC" w:rsidR="00C155F6" w:rsidRDefault="00C155F6" w:rsidP="00C155F6">
      <w:pPr>
        <w:spacing w:after="0"/>
        <w:rPr>
          <w:rFonts w:cs="Arial"/>
        </w:rPr>
      </w:pPr>
    </w:p>
    <w:p w14:paraId="0E84A588" w14:textId="64C613E0" w:rsidR="009865E7" w:rsidRDefault="009865E7" w:rsidP="00C82308">
      <w:pPr>
        <w:pStyle w:val="Heading2"/>
      </w:pPr>
      <w:bookmarkStart w:id="15" w:name="_Toc525901754"/>
      <w:r>
        <w:t>Decision support</w:t>
      </w:r>
      <w:bookmarkEnd w:id="15"/>
    </w:p>
    <w:p w14:paraId="25864F90" w14:textId="77777777" w:rsidR="009865E7" w:rsidRDefault="009865E7" w:rsidP="009865E7">
      <w:pPr>
        <w:spacing w:after="0"/>
      </w:pPr>
      <w:r>
        <w:t>One of the primary drivers for the development of the allergy archetype is to enable decision support in receiving systems to be triggered by transferred allergies. Decision support systems can be developed as part of a clinical system or be a module supplied by a third party that then integrates into the clinical system. When implementing the allergy archetype, it is essential that the decision support system can interpret any code from the allergy archetype reference set that is received and that in doing so it triggers the correct decision support processes.</w:t>
      </w:r>
    </w:p>
    <w:p w14:paraId="2CA70D4C" w14:textId="77777777" w:rsidR="009865E7" w:rsidRDefault="009865E7" w:rsidP="009865E7">
      <w:pPr>
        <w:spacing w:after="0"/>
        <w:textboxTightWrap w:val="none"/>
      </w:pPr>
    </w:p>
    <w:tbl>
      <w:tblPr>
        <w:tblStyle w:val="TableGrid"/>
        <w:tblW w:w="0" w:type="auto"/>
        <w:tblLook w:val="04A0" w:firstRow="1" w:lastRow="0" w:firstColumn="1" w:lastColumn="0" w:noHBand="0" w:noVBand="1"/>
      </w:tblPr>
      <w:tblGrid>
        <w:gridCol w:w="1510"/>
        <w:gridCol w:w="8344"/>
      </w:tblGrid>
      <w:tr w:rsidR="009865E7" w14:paraId="047D53A2" w14:textId="77777777" w:rsidTr="000E608B">
        <w:tc>
          <w:tcPr>
            <w:tcW w:w="1526" w:type="dxa"/>
          </w:tcPr>
          <w:p w14:paraId="1FB5E91D" w14:textId="77777777" w:rsidR="009865E7" w:rsidRDefault="009865E7" w:rsidP="000E608B">
            <w:r>
              <w:t>DAA02</w:t>
            </w:r>
          </w:p>
        </w:tc>
        <w:tc>
          <w:tcPr>
            <w:tcW w:w="8554" w:type="dxa"/>
          </w:tcPr>
          <w:p w14:paraId="2A12D291" w14:textId="77777777" w:rsidR="009865E7" w:rsidRDefault="009865E7" w:rsidP="000E608B">
            <w:r>
              <w:t xml:space="preserve">If a decision support system is presented with an item that is from the causative agent bounded list or a translation of that list by the clinical system, then it </w:t>
            </w:r>
            <w:r>
              <w:rPr>
                <w:b/>
              </w:rPr>
              <w:t xml:space="preserve">MUST </w:t>
            </w:r>
            <w:r>
              <w:t>recognise it as an element of the subset and trigger the appropriate decision support.</w:t>
            </w:r>
          </w:p>
          <w:p w14:paraId="20BCC279" w14:textId="2F70C745" w:rsidR="009E0B5B" w:rsidRPr="00C425AF" w:rsidRDefault="009E0B5B" w:rsidP="000E608B">
            <w:r w:rsidRPr="009E0B5B">
              <w:lastRenderedPageBreak/>
              <w:t>For clarity</w:t>
            </w:r>
            <w:r>
              <w:t>,</w:t>
            </w:r>
            <w:r w:rsidRPr="009E0B5B">
              <w:t xml:space="preserve"> the entire causative agent list </w:t>
            </w:r>
            <w:r w:rsidRPr="009E0B5B">
              <w:rPr>
                <w:b/>
              </w:rPr>
              <w:t>MUST</w:t>
            </w:r>
            <w:r w:rsidRPr="009E0B5B">
              <w:t xml:space="preserve"> be supported including all inactive concepts and descriptions that it contains.</w:t>
            </w:r>
          </w:p>
        </w:tc>
      </w:tr>
    </w:tbl>
    <w:p w14:paraId="56FE1FC1" w14:textId="77777777" w:rsidR="009865E7" w:rsidRDefault="009865E7" w:rsidP="009865E7">
      <w:pPr>
        <w:spacing w:after="0"/>
        <w:rPr>
          <w:rFonts w:cs="Arial"/>
        </w:rPr>
      </w:pPr>
    </w:p>
    <w:p w14:paraId="327E62DE" w14:textId="435AFDB2" w:rsidR="00233F29" w:rsidRDefault="00AF6AE8" w:rsidP="00AF6AE8">
      <w:pPr>
        <w:pStyle w:val="Heading2"/>
      </w:pPr>
      <w:bookmarkStart w:id="16" w:name="_Toc525901755"/>
      <w:r>
        <w:t>Maintenance</w:t>
      </w:r>
      <w:bookmarkEnd w:id="16"/>
    </w:p>
    <w:p w14:paraId="28267EB6" w14:textId="77777777" w:rsidR="00AF6AE8" w:rsidRDefault="00AF6AE8" w:rsidP="00AF6AE8">
      <w:pPr>
        <w:spacing w:after="0"/>
      </w:pPr>
      <w:r>
        <w:t xml:space="preserve">The reference set will be maintained by the terminology team at NHS Digital and revisions to it will be published via TRUD in as part of the </w:t>
      </w:r>
      <w:proofErr w:type="spellStart"/>
      <w:r>
        <w:t>dm+d</w:t>
      </w:r>
      <w:proofErr w:type="spellEnd"/>
      <w:r>
        <w:t xml:space="preserve"> release.</w:t>
      </w:r>
    </w:p>
    <w:p w14:paraId="67D7CA88" w14:textId="77777777" w:rsidR="00AF6AE8" w:rsidRDefault="00AF6AE8" w:rsidP="00AF6AE8"/>
    <w:tbl>
      <w:tblPr>
        <w:tblStyle w:val="TableGrid"/>
        <w:tblW w:w="0" w:type="auto"/>
        <w:tblLook w:val="04A0" w:firstRow="1" w:lastRow="0" w:firstColumn="1" w:lastColumn="0" w:noHBand="0" w:noVBand="1"/>
      </w:tblPr>
      <w:tblGrid>
        <w:gridCol w:w="1509"/>
        <w:gridCol w:w="8345"/>
      </w:tblGrid>
      <w:tr w:rsidR="00AF6AE8" w14:paraId="56E0772C" w14:textId="77777777" w:rsidTr="000E608B">
        <w:tc>
          <w:tcPr>
            <w:tcW w:w="1526" w:type="dxa"/>
          </w:tcPr>
          <w:p w14:paraId="5C81A902" w14:textId="77777777" w:rsidR="00AF6AE8" w:rsidRDefault="00AF6AE8" w:rsidP="000E608B">
            <w:r>
              <w:t>DAA03</w:t>
            </w:r>
          </w:p>
        </w:tc>
        <w:tc>
          <w:tcPr>
            <w:tcW w:w="8554" w:type="dxa"/>
          </w:tcPr>
          <w:p w14:paraId="753D9740" w14:textId="1ECA9F93" w:rsidR="00AF6AE8" w:rsidRPr="00021649" w:rsidRDefault="00AF6AE8" w:rsidP="000E608B">
            <w:r>
              <w:t xml:space="preserve">All clinical system suppliers and manufacturers of decision support systems </w:t>
            </w:r>
            <w:r>
              <w:rPr>
                <w:b/>
              </w:rPr>
              <w:t xml:space="preserve">MUST </w:t>
            </w:r>
            <w:r>
              <w:t>support a</w:t>
            </w:r>
            <w:r w:rsidR="001C51C8">
              <w:t>ll</w:t>
            </w:r>
            <w:r>
              <w:t xml:space="preserve"> changes to the SNOMED reference set for causative agents within 1 month of the release of a new </w:t>
            </w:r>
            <w:r w:rsidRPr="00C807E9">
              <w:t>version</w:t>
            </w:r>
            <w:r w:rsidR="0090116C" w:rsidRPr="00C807E9">
              <w:t xml:space="preserve"> </w:t>
            </w:r>
            <w:r w:rsidR="0090116C" w:rsidRPr="00C807E9">
              <w:t>in line with the normal process of data dictionary updates via TRUD.</w:t>
            </w:r>
            <w:bookmarkStart w:id="17" w:name="_GoBack"/>
            <w:bookmarkEnd w:id="17"/>
          </w:p>
        </w:tc>
      </w:tr>
    </w:tbl>
    <w:p w14:paraId="7C48B5D0" w14:textId="77777777" w:rsidR="00AF6AE8" w:rsidRDefault="00AF6AE8" w:rsidP="00AF6AE8"/>
    <w:p w14:paraId="18FB5B7B" w14:textId="77777777" w:rsidR="003E7D2D" w:rsidRDefault="003E7D2D">
      <w:pPr>
        <w:spacing w:after="0"/>
        <w:textboxTightWrap w:val="none"/>
        <w:rPr>
          <w:rFonts w:cs="Arial"/>
          <w:b/>
          <w:bCs/>
          <w:color w:val="005EB8" w:themeColor="accent1"/>
          <w:spacing w:val="-14"/>
          <w:kern w:val="28"/>
          <w:sz w:val="42"/>
          <w:szCs w:val="32"/>
          <w14:ligatures w14:val="standardContextual"/>
        </w:rPr>
      </w:pPr>
      <w:r>
        <w:br w:type="page"/>
      </w:r>
    </w:p>
    <w:p w14:paraId="4B33F294" w14:textId="3EDF5637" w:rsidR="00C044AC" w:rsidRDefault="00C044AC" w:rsidP="00BA2AF4">
      <w:pPr>
        <w:pStyle w:val="Appendix1"/>
      </w:pPr>
      <w:bookmarkStart w:id="18" w:name="_Toc525901756"/>
      <w:r>
        <w:lastRenderedPageBreak/>
        <w:t xml:space="preserve">Appendix A – </w:t>
      </w:r>
      <w:proofErr w:type="spellStart"/>
      <w:r>
        <w:t>GPSoC</w:t>
      </w:r>
      <w:proofErr w:type="spellEnd"/>
      <w:r>
        <w:t xml:space="preserve"> drug allergy archetype paper</w:t>
      </w:r>
      <w:bookmarkEnd w:id="18"/>
    </w:p>
    <w:bookmarkStart w:id="19" w:name="_MON_1591081531"/>
    <w:bookmarkEnd w:id="19"/>
    <w:p w14:paraId="1B581022" w14:textId="5D609A85" w:rsidR="00C044AC" w:rsidRDefault="00A42A38" w:rsidP="00C044AC">
      <w:pPr>
        <w:pStyle w:val="Numberedlist"/>
        <w:numPr>
          <w:ilvl w:val="0"/>
          <w:numId w:val="0"/>
        </w:numPr>
        <w:ind w:left="360" w:hanging="360"/>
      </w:pPr>
      <w:r>
        <w:object w:dxaOrig="1536" w:dyaOrig="993" w14:anchorId="67BD3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8" o:title=""/>
          </v:shape>
          <o:OLEObject Type="Embed" ProgID="Word.Document.12" ShapeID="_x0000_i1025" DrawAspect="Icon" ObjectID="_1600593024" r:id="rId29">
            <o:FieldCodes>\s</o:FieldCodes>
          </o:OLEObject>
        </w:object>
      </w:r>
    </w:p>
    <w:p w14:paraId="5E14DA00" w14:textId="77777777" w:rsidR="001463E7" w:rsidRDefault="001463E7" w:rsidP="00C044AC">
      <w:pPr>
        <w:pStyle w:val="Numberedlist"/>
        <w:numPr>
          <w:ilvl w:val="0"/>
          <w:numId w:val="0"/>
        </w:numPr>
        <w:ind w:left="360" w:hanging="360"/>
      </w:pPr>
    </w:p>
    <w:p w14:paraId="14C36C82" w14:textId="7351E5B5" w:rsidR="00AF6AE8" w:rsidRDefault="00C044AC" w:rsidP="00BA2AF4">
      <w:pPr>
        <w:pStyle w:val="Appendix1"/>
      </w:pPr>
      <w:bookmarkStart w:id="20" w:name="_Toc525901757"/>
      <w:r>
        <w:t xml:space="preserve">Appendix B – Allergy </w:t>
      </w:r>
      <w:r w:rsidR="0071135F">
        <w:t xml:space="preserve">archetype causative </w:t>
      </w:r>
      <w:r>
        <w:t>agent SNOMED reference set</w:t>
      </w:r>
      <w:bookmarkEnd w:id="20"/>
    </w:p>
    <w:p w14:paraId="39DEE960" w14:textId="77777777" w:rsidR="00090F1A" w:rsidRDefault="00090F1A" w:rsidP="00090F1A">
      <w:r>
        <w:t>The definition of the SNOMED reference set for the causative agent is:</w:t>
      </w:r>
    </w:p>
    <w:p w14:paraId="37ABD8CC" w14:textId="77777777" w:rsidR="00090F1A" w:rsidRDefault="00090F1A" w:rsidP="00090F1A">
      <w:r>
        <w:t xml:space="preserve">(^999000801000001108 |Allergy Archetypes Drug Groups simple reference set|      </w:t>
      </w:r>
    </w:p>
    <w:p w14:paraId="56A8EA8B" w14:textId="77777777" w:rsidR="00090F1A" w:rsidRDefault="00090F1A" w:rsidP="00090F1A">
      <w:r>
        <w:t>OR ^999000631000001100 |National Health Service dictionary of medicines and</w:t>
      </w:r>
    </w:p>
    <w:p w14:paraId="293AA792" w14:textId="77777777" w:rsidR="00090F1A" w:rsidRDefault="00090F1A" w:rsidP="00090F1A">
      <w:r>
        <w:t xml:space="preserve">devices trade family simple reference set|             </w:t>
      </w:r>
    </w:p>
    <w:p w14:paraId="4A3B540B" w14:textId="77777777" w:rsidR="00090F1A" w:rsidRDefault="00090F1A" w:rsidP="00090F1A">
      <w:r>
        <w:t xml:space="preserve">OR ^999000641000001107 |National Health Service dictionary of medicines and devices trade family group simple reference set|            </w:t>
      </w:r>
    </w:p>
    <w:p w14:paraId="61141930" w14:textId="77777777" w:rsidR="00090F1A" w:rsidRDefault="00090F1A" w:rsidP="00090F1A">
      <w:r>
        <w:t xml:space="preserve">OR ^999000771000001105 |National Health Service dictionary of medicines and devices combination drug virtual therapeutic moiety simple reference set|             </w:t>
      </w:r>
    </w:p>
    <w:p w14:paraId="5B17358E" w14:textId="77777777" w:rsidR="00090F1A" w:rsidRDefault="00090F1A" w:rsidP="00090F1A">
      <w:r>
        <w:t xml:space="preserve">OR ^999000561000001109 |National Health Service dictionary of medicines and devices virtual medicinal product simple reference set|         </w:t>
      </w:r>
    </w:p>
    <w:p w14:paraId="246E70BD" w14:textId="77777777" w:rsidR="00090F1A" w:rsidRDefault="00090F1A" w:rsidP="00090F1A">
      <w:r>
        <w:t xml:space="preserve">OR ^999000541000001108 |National Health Service dictionary of medicines and devices actual medicinal product simple reference set|             </w:t>
      </w:r>
    </w:p>
    <w:p w14:paraId="3BE7C892" w14:textId="77777777" w:rsidR="00090F1A" w:rsidRDefault="00090F1A" w:rsidP="00090F1A">
      <w:r>
        <w:t xml:space="preserve">OR ^999000791000001109 |NHS </w:t>
      </w:r>
      <w:proofErr w:type="spellStart"/>
      <w:r>
        <w:t>dm+d</w:t>
      </w:r>
      <w:proofErr w:type="spellEnd"/>
      <w:r>
        <w:t xml:space="preserve"> (dictionary of medicines and devices) ingredient simple reference set|</w:t>
      </w:r>
    </w:p>
    <w:p w14:paraId="46064E93" w14:textId="77777777" w:rsidR="00090F1A" w:rsidRDefault="00090F1A" w:rsidP="00090F1A">
      <w:r>
        <w:t xml:space="preserve">OR &lt;&lt;716186003 |No known allergy| </w:t>
      </w:r>
    </w:p>
    <w:p w14:paraId="7B012674" w14:textId="77777777" w:rsidR="00090F1A" w:rsidRDefault="00090F1A" w:rsidP="00090F1A">
      <w:r>
        <w:t xml:space="preserve">OR 196461000000101 |Transfer-degraded drug allergy| </w:t>
      </w:r>
    </w:p>
    <w:p w14:paraId="762D3429" w14:textId="77777777" w:rsidR="00090F1A" w:rsidRDefault="00090F1A" w:rsidP="00090F1A">
      <w:r>
        <w:t>OR 196471000000108 |Transfer-degraded non-drug allergy|)</w:t>
      </w:r>
    </w:p>
    <w:p w14:paraId="3F370B32" w14:textId="77777777" w:rsidR="00090F1A" w:rsidRDefault="00090F1A" w:rsidP="00090F1A"/>
    <w:p w14:paraId="3DB55235" w14:textId="7B227B56" w:rsidR="00090F1A" w:rsidRDefault="00090F1A" w:rsidP="00090F1A">
      <w:r>
        <w:t xml:space="preserve">This will be maintained by TRUD as part of their regular release schedule so may be </w:t>
      </w:r>
      <w:proofErr w:type="gramStart"/>
      <w:r>
        <w:t>updated</w:t>
      </w:r>
      <w:r w:rsidR="00DC4C4A">
        <w:t>,</w:t>
      </w:r>
      <w:r>
        <w:t xml:space="preserve"> but</w:t>
      </w:r>
      <w:proofErr w:type="gramEnd"/>
      <w:r>
        <w:t xml:space="preserve"> is correct at the time of writing.</w:t>
      </w:r>
    </w:p>
    <w:p w14:paraId="6762FD91" w14:textId="77777777" w:rsidR="00BA2AF4" w:rsidRPr="000D3D12" w:rsidRDefault="00BA2AF4" w:rsidP="00C044AC">
      <w:pPr>
        <w:pStyle w:val="Numberedlist"/>
        <w:numPr>
          <w:ilvl w:val="0"/>
          <w:numId w:val="0"/>
        </w:numPr>
        <w:ind w:left="360" w:hanging="360"/>
      </w:pPr>
    </w:p>
    <w:sectPr w:rsidR="00BA2AF4" w:rsidRPr="000D3D12" w:rsidSect="001E2958">
      <w:footerReference w:type="first" r:id="rId30"/>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43E2" w14:textId="77777777" w:rsidR="00AC2999" w:rsidRDefault="00AC2999">
      <w:r>
        <w:separator/>
      </w:r>
    </w:p>
  </w:endnote>
  <w:endnote w:type="continuationSeparator" w:id="0">
    <w:p w14:paraId="4062745C" w14:textId="77777777" w:rsidR="00AC2999" w:rsidRDefault="00AC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F1AD" w14:textId="77777777" w:rsidR="00615AC5" w:rsidRDefault="00615AC5" w:rsidP="00E249FF">
    <w:pPr>
      <w:pStyle w:val="Footer"/>
    </w:pPr>
  </w:p>
  <w:p w14:paraId="76AA2CDF" w14:textId="77777777" w:rsidR="00615AC5" w:rsidRDefault="00615AC5" w:rsidP="00C318D6">
    <w:pPr>
      <w:pStyle w:val="Footer"/>
      <w:jc w:val="right"/>
    </w:pPr>
  </w:p>
  <w:p w14:paraId="79885B99" w14:textId="77777777" w:rsidR="00615AC5" w:rsidRPr="001E2958" w:rsidRDefault="000971A9" w:rsidP="00215FD9">
    <w:pPr>
      <w:pStyle w:val="Footer"/>
    </w:pPr>
    <w:r>
      <w:t xml:space="preserve">Copyright © </w:t>
    </w:r>
    <w:sdt>
      <w:sdtPr>
        <w:alias w:val="Year"/>
        <w:tag w:val="YYYY"/>
        <w:id w:val="-951789870"/>
      </w:sdtPr>
      <w:sdtEndPr/>
      <w:sdtContent>
        <w:r>
          <w:t>2018</w:t>
        </w:r>
      </w:sdtContent>
    </w:sdt>
    <w:r>
      <w:t xml:space="preserve"> NHS Digital</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A67267">
      <w:rPr>
        <w:noProof/>
      </w:rPr>
      <w:fldChar w:fldCharType="begin"/>
    </w:r>
    <w:r w:rsidR="00A67267">
      <w:rPr>
        <w:noProof/>
      </w:rPr>
      <w:instrText xml:space="preserve"> NUMPAGES </w:instrText>
    </w:r>
    <w:r w:rsidR="00A67267">
      <w:rPr>
        <w:noProof/>
      </w:rPr>
      <w:fldChar w:fldCharType="separate"/>
    </w:r>
    <w:r>
      <w:rPr>
        <w:noProof/>
      </w:rPr>
      <w:t>4</w:t>
    </w:r>
    <w:r w:rsidR="00A6726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5BFD" w14:textId="77777777" w:rsidR="00615AC5" w:rsidRDefault="00615AC5" w:rsidP="00E249FF">
    <w:pPr>
      <w:pStyle w:val="Footer"/>
    </w:pPr>
  </w:p>
  <w:p w14:paraId="0D90D8E6" w14:textId="77777777" w:rsidR="00615AC5" w:rsidRDefault="00615AC5" w:rsidP="00E249FF">
    <w:pPr>
      <w:pStyle w:val="Footer"/>
    </w:pPr>
    <w:r>
      <w:t>Copyright ©</w:t>
    </w:r>
    <w:sdt>
      <w:sdtPr>
        <w:alias w:val="Year"/>
        <w:tag w:val="YYYY"/>
        <w:id w:val="-1048608770"/>
        <w:lock w:val="sdtLocked"/>
      </w:sdtPr>
      <w:sdtEndPr/>
      <w:sdtContent>
        <w:r>
          <w:t>201</w:t>
        </w:r>
        <w:r w:rsidR="000971A9">
          <w:t>8</w:t>
        </w:r>
      </w:sdtContent>
    </w:sdt>
    <w:r w:rsidR="000971A9">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A67267">
      <w:rPr>
        <w:noProof/>
      </w:rPr>
      <w:fldChar w:fldCharType="begin"/>
    </w:r>
    <w:r w:rsidR="00A67267">
      <w:rPr>
        <w:noProof/>
      </w:rPr>
      <w:instrText xml:space="preserve"> NUMPAGES </w:instrText>
    </w:r>
    <w:r w:rsidR="00A67267">
      <w:rPr>
        <w:noProof/>
      </w:rPr>
      <w:fldChar w:fldCharType="separate"/>
    </w:r>
    <w:r w:rsidR="00DE4075">
      <w:rPr>
        <w:noProof/>
      </w:rPr>
      <w:t>1</w:t>
    </w:r>
    <w:r w:rsidR="00A67267">
      <w:rPr>
        <w:noProof/>
      </w:rPr>
      <w:fldChar w:fldCharType="end"/>
    </w:r>
    <w:r>
      <w:br/>
    </w:r>
  </w:p>
  <w:p w14:paraId="08DD96D2"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E710"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628833DE"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32AB" w14:textId="77777777" w:rsidR="00AC2999" w:rsidRDefault="00AC2999">
      <w:r>
        <w:separator/>
      </w:r>
    </w:p>
  </w:footnote>
  <w:footnote w:type="continuationSeparator" w:id="0">
    <w:p w14:paraId="746A8AB5" w14:textId="77777777" w:rsidR="00AC2999" w:rsidRDefault="00AC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ACA" w14:textId="327D3D8C" w:rsidR="00615AC5" w:rsidRDefault="00AC2999" w:rsidP="00CE7577">
    <w:pPr>
      <w:pStyle w:val="Header"/>
      <w:tabs>
        <w:tab w:val="clear" w:pos="9639"/>
        <w:tab w:val="right" w:pos="9781"/>
      </w:tabs>
    </w:pPr>
    <w:sdt>
      <w:sdtPr>
        <w:alias w:val="Title"/>
        <w:tag w:val=""/>
        <w:id w:val="-1262984887"/>
        <w:placeholder>
          <w:docPart w:val="F9565CC7EF89443C8FE48AEC43A4992C"/>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27251">
          <w:t>GPSoC</w:t>
        </w:r>
        <w:proofErr w:type="spellEnd"/>
        <w:r w:rsidR="00127251">
          <w:t xml:space="preserve"> Allergy Archetype Implementation Guidance</w:t>
        </w:r>
      </w:sdtContent>
    </w:sdt>
    <w:r w:rsidR="00615AC5">
      <w:tab/>
    </w:r>
    <w:r w:rsidR="00615AC5" w:rsidRPr="009A450D">
      <w:t>v</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111B55">
          <w:t>1</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111B55">
          <w:t>Final</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10-09T00:00:00Z">
          <w:dateFormat w:val="dd/MM/yyyy"/>
          <w:lid w:val="en-GB"/>
          <w:storeMappedDataAs w:val="dateTime"/>
          <w:calendar w:val="gregorian"/>
        </w:date>
      </w:sdtPr>
      <w:sdtEndPr/>
      <w:sdtContent>
        <w:r w:rsidR="00AD0045">
          <w:t>09/10/2018</w:t>
        </w:r>
      </w:sdtContent>
    </w:sdt>
  </w:p>
  <w:p w14:paraId="3D9FA38C"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1514" w14:textId="77777777" w:rsidR="00615AC5" w:rsidRDefault="00615AC5" w:rsidP="00BA25A7">
    <w:r>
      <w:rPr>
        <w:rFonts w:asciiTheme="minorHAnsi" w:hAnsiTheme="minorHAnsi"/>
        <w:b/>
        <w:bCs/>
        <w:noProof/>
        <w:lang w:eastAsia="en-GB"/>
      </w:rPr>
      <w:drawing>
        <wp:anchor distT="0" distB="0" distL="114300" distR="114300" simplePos="0" relativeHeight="251660288" behindDoc="1" locked="0" layoutInCell="1" allowOverlap="1" wp14:anchorId="357811CE" wp14:editId="5A4FCC6C">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6D9D8830" w14:textId="77777777" w:rsidR="00615AC5" w:rsidRDefault="00615AC5" w:rsidP="00BA25A7"/>
  <w:p w14:paraId="4F7E972B" w14:textId="77777777" w:rsidR="00615AC5" w:rsidRDefault="00615AC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09FB" w14:textId="77777777" w:rsidR="00615AC5" w:rsidRDefault="00615AC5" w:rsidP="00DA41AC">
    <w:pPr>
      <w:pStyle w:val="Header"/>
      <w:pBdr>
        <w:bottom w:val="single" w:sz="12" w:space="31" w:color="003350"/>
      </w:pBdr>
    </w:pPr>
  </w:p>
  <w:p w14:paraId="4FE099B4" w14:textId="77777777" w:rsidR="00615AC5" w:rsidRDefault="00615AC5" w:rsidP="00DA41AC">
    <w:pPr>
      <w:pStyle w:val="Header"/>
      <w:pBdr>
        <w:bottom w:val="single" w:sz="12" w:space="31" w:color="003350"/>
      </w:pBdr>
      <w:tabs>
        <w:tab w:val="clear" w:pos="9639"/>
        <w:tab w:val="right" w:pos="9638"/>
      </w:tabs>
    </w:pPr>
  </w:p>
  <w:p w14:paraId="76757F15"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42623B1A" wp14:editId="4D82358D">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C2A0E"/>
    <w:multiLevelType w:val="multilevel"/>
    <w:tmpl w:val="B82013D8"/>
    <w:lvl w:ilvl="0">
      <w:start w:val="1"/>
      <w:numFmt w:val="decimal"/>
      <w:lvlText w:val="%1."/>
      <w:lvlJc w:val="left"/>
      <w:pPr>
        <w:ind w:left="720" w:hanging="360"/>
      </w:pPr>
      <w:rPr>
        <w:rFonts w:hint="default"/>
      </w:rPr>
    </w:lvl>
    <w:lvl w:ilvl="1">
      <w:start w:val="1"/>
      <w:numFmt w:val="decimal"/>
      <w:isLgl/>
      <w:lvlText w:val="%1.%2"/>
      <w:lvlJc w:val="left"/>
      <w:pPr>
        <w:ind w:left="1429"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28A51BC"/>
    <w:multiLevelType w:val="multilevel"/>
    <w:tmpl w:val="A30A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6F7880"/>
    <w:multiLevelType w:val="multilevel"/>
    <w:tmpl w:val="2C84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8548C"/>
    <w:multiLevelType w:val="hybridMultilevel"/>
    <w:tmpl w:val="762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520E5"/>
    <w:multiLevelType w:val="hybridMultilevel"/>
    <w:tmpl w:val="3B46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84A6F25"/>
    <w:multiLevelType w:val="multilevel"/>
    <w:tmpl w:val="4D1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3"/>
  </w:num>
  <w:num w:numId="4">
    <w:abstractNumId w:val="13"/>
  </w:num>
  <w:num w:numId="5">
    <w:abstractNumId w:val="7"/>
  </w:num>
  <w:num w:numId="6">
    <w:abstractNumId w:val="4"/>
  </w:num>
  <w:num w:numId="7">
    <w:abstractNumId w:val="10"/>
  </w:num>
  <w:num w:numId="8">
    <w:abstractNumId w:val="0"/>
  </w:num>
  <w:num w:numId="9">
    <w:abstractNumId w:val="9"/>
  </w:num>
  <w:num w:numId="10">
    <w:abstractNumId w:val="1"/>
  </w:num>
  <w:num w:numId="11">
    <w:abstractNumId w:val="8"/>
  </w:num>
  <w:num w:numId="12">
    <w:abstractNumId w:val="6"/>
  </w:num>
  <w:num w:numId="13">
    <w:abstractNumId w:val="12"/>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31"/>
    <w:rsid w:val="0000101D"/>
    <w:rsid w:val="0000300B"/>
    <w:rsid w:val="000057E7"/>
    <w:rsid w:val="00005C23"/>
    <w:rsid w:val="000067A5"/>
    <w:rsid w:val="00007DA7"/>
    <w:rsid w:val="0001169A"/>
    <w:rsid w:val="00014D4F"/>
    <w:rsid w:val="00017485"/>
    <w:rsid w:val="00020C60"/>
    <w:rsid w:val="00021367"/>
    <w:rsid w:val="0002191A"/>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35C5"/>
    <w:rsid w:val="00067153"/>
    <w:rsid w:val="000713A8"/>
    <w:rsid w:val="0007195C"/>
    <w:rsid w:val="00071C43"/>
    <w:rsid w:val="000720AA"/>
    <w:rsid w:val="00072772"/>
    <w:rsid w:val="000743D7"/>
    <w:rsid w:val="00080B96"/>
    <w:rsid w:val="0008111B"/>
    <w:rsid w:val="0008125E"/>
    <w:rsid w:val="00081EB5"/>
    <w:rsid w:val="000871A9"/>
    <w:rsid w:val="00087A78"/>
    <w:rsid w:val="00090645"/>
    <w:rsid w:val="00090F1A"/>
    <w:rsid w:val="000923B1"/>
    <w:rsid w:val="00093BDC"/>
    <w:rsid w:val="000971A9"/>
    <w:rsid w:val="000A009A"/>
    <w:rsid w:val="000A1A41"/>
    <w:rsid w:val="000A28B4"/>
    <w:rsid w:val="000A4BE0"/>
    <w:rsid w:val="000A69AB"/>
    <w:rsid w:val="000A6A50"/>
    <w:rsid w:val="000A7882"/>
    <w:rsid w:val="000A7FC1"/>
    <w:rsid w:val="000B10A8"/>
    <w:rsid w:val="000B1F50"/>
    <w:rsid w:val="000B295E"/>
    <w:rsid w:val="000B2F18"/>
    <w:rsid w:val="000B42CF"/>
    <w:rsid w:val="000B507D"/>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1B55"/>
    <w:rsid w:val="00112CF4"/>
    <w:rsid w:val="00112EDA"/>
    <w:rsid w:val="0011335E"/>
    <w:rsid w:val="001137E6"/>
    <w:rsid w:val="00114576"/>
    <w:rsid w:val="001164D0"/>
    <w:rsid w:val="00116B56"/>
    <w:rsid w:val="00116F6B"/>
    <w:rsid w:val="00117F0D"/>
    <w:rsid w:val="00121DF4"/>
    <w:rsid w:val="00123192"/>
    <w:rsid w:val="00127251"/>
    <w:rsid w:val="00130FA9"/>
    <w:rsid w:val="00132B22"/>
    <w:rsid w:val="00134787"/>
    <w:rsid w:val="001358F3"/>
    <w:rsid w:val="001363D2"/>
    <w:rsid w:val="001413A8"/>
    <w:rsid w:val="00143B0A"/>
    <w:rsid w:val="00145BCD"/>
    <w:rsid w:val="001463E7"/>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96BB2"/>
    <w:rsid w:val="001A101D"/>
    <w:rsid w:val="001A2D79"/>
    <w:rsid w:val="001A3367"/>
    <w:rsid w:val="001A6F14"/>
    <w:rsid w:val="001A6F1A"/>
    <w:rsid w:val="001B0520"/>
    <w:rsid w:val="001B1406"/>
    <w:rsid w:val="001B5122"/>
    <w:rsid w:val="001B5443"/>
    <w:rsid w:val="001B65BC"/>
    <w:rsid w:val="001B73C7"/>
    <w:rsid w:val="001B7494"/>
    <w:rsid w:val="001B775A"/>
    <w:rsid w:val="001C203A"/>
    <w:rsid w:val="001C25C5"/>
    <w:rsid w:val="001C396F"/>
    <w:rsid w:val="001C4628"/>
    <w:rsid w:val="001C51C8"/>
    <w:rsid w:val="001C5C1C"/>
    <w:rsid w:val="001C6D58"/>
    <w:rsid w:val="001D084B"/>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3F29"/>
    <w:rsid w:val="002353B8"/>
    <w:rsid w:val="00237A11"/>
    <w:rsid w:val="00240635"/>
    <w:rsid w:val="002406BB"/>
    <w:rsid w:val="00240BB3"/>
    <w:rsid w:val="0024137D"/>
    <w:rsid w:val="00241DC2"/>
    <w:rsid w:val="00242BF3"/>
    <w:rsid w:val="00243E38"/>
    <w:rsid w:val="00247269"/>
    <w:rsid w:val="00247CDE"/>
    <w:rsid w:val="00254066"/>
    <w:rsid w:val="00254570"/>
    <w:rsid w:val="00255498"/>
    <w:rsid w:val="00256BAC"/>
    <w:rsid w:val="002579F0"/>
    <w:rsid w:val="002605D3"/>
    <w:rsid w:val="002608C9"/>
    <w:rsid w:val="0026358C"/>
    <w:rsid w:val="002674F6"/>
    <w:rsid w:val="002707F9"/>
    <w:rsid w:val="002736F5"/>
    <w:rsid w:val="00273F06"/>
    <w:rsid w:val="00277EC7"/>
    <w:rsid w:val="0028038D"/>
    <w:rsid w:val="00280524"/>
    <w:rsid w:val="00282203"/>
    <w:rsid w:val="00282924"/>
    <w:rsid w:val="00282B6F"/>
    <w:rsid w:val="002844D3"/>
    <w:rsid w:val="00284979"/>
    <w:rsid w:val="00287CFF"/>
    <w:rsid w:val="00287F19"/>
    <w:rsid w:val="0029141D"/>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B7F92"/>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18D1"/>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3697"/>
    <w:rsid w:val="003755C1"/>
    <w:rsid w:val="00375745"/>
    <w:rsid w:val="003759C7"/>
    <w:rsid w:val="00375CAC"/>
    <w:rsid w:val="00377269"/>
    <w:rsid w:val="00377FA4"/>
    <w:rsid w:val="00380CF5"/>
    <w:rsid w:val="003841DF"/>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B7A1D"/>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E7D2D"/>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E6B"/>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6A4"/>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69DF"/>
    <w:rsid w:val="0050786E"/>
    <w:rsid w:val="00512C0B"/>
    <w:rsid w:val="00514FBD"/>
    <w:rsid w:val="00516768"/>
    <w:rsid w:val="00516E37"/>
    <w:rsid w:val="00520E6A"/>
    <w:rsid w:val="005233D1"/>
    <w:rsid w:val="00523701"/>
    <w:rsid w:val="0052751A"/>
    <w:rsid w:val="005320B4"/>
    <w:rsid w:val="0053490A"/>
    <w:rsid w:val="00537019"/>
    <w:rsid w:val="00540961"/>
    <w:rsid w:val="00540BA5"/>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4E87"/>
    <w:rsid w:val="00575F4F"/>
    <w:rsid w:val="00575F67"/>
    <w:rsid w:val="00576B28"/>
    <w:rsid w:val="005773FA"/>
    <w:rsid w:val="00577824"/>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1549"/>
    <w:rsid w:val="005B30FF"/>
    <w:rsid w:val="005B441B"/>
    <w:rsid w:val="005B5DBE"/>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620"/>
    <w:rsid w:val="00654DFE"/>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A240C"/>
    <w:rsid w:val="006A42A4"/>
    <w:rsid w:val="006A5777"/>
    <w:rsid w:val="006A7B14"/>
    <w:rsid w:val="006A7B5E"/>
    <w:rsid w:val="006B1F74"/>
    <w:rsid w:val="006B5B27"/>
    <w:rsid w:val="006B6FD0"/>
    <w:rsid w:val="006C28FE"/>
    <w:rsid w:val="006C34D7"/>
    <w:rsid w:val="006C4240"/>
    <w:rsid w:val="006C43F6"/>
    <w:rsid w:val="006D20B6"/>
    <w:rsid w:val="006D39E4"/>
    <w:rsid w:val="006D3A08"/>
    <w:rsid w:val="006D4FD7"/>
    <w:rsid w:val="006D72BA"/>
    <w:rsid w:val="006E2A2F"/>
    <w:rsid w:val="006E4605"/>
    <w:rsid w:val="006E626A"/>
    <w:rsid w:val="006E6696"/>
    <w:rsid w:val="006E6E22"/>
    <w:rsid w:val="006F2557"/>
    <w:rsid w:val="006F690C"/>
    <w:rsid w:val="006F6AB9"/>
    <w:rsid w:val="006F6FD7"/>
    <w:rsid w:val="006F779F"/>
    <w:rsid w:val="0070187B"/>
    <w:rsid w:val="0070253C"/>
    <w:rsid w:val="00702D66"/>
    <w:rsid w:val="00703267"/>
    <w:rsid w:val="007058A2"/>
    <w:rsid w:val="0071135F"/>
    <w:rsid w:val="00716F1B"/>
    <w:rsid w:val="0072174E"/>
    <w:rsid w:val="00722B19"/>
    <w:rsid w:val="007325D8"/>
    <w:rsid w:val="00733B05"/>
    <w:rsid w:val="00736952"/>
    <w:rsid w:val="00737E6D"/>
    <w:rsid w:val="00741E6B"/>
    <w:rsid w:val="0074297C"/>
    <w:rsid w:val="00745705"/>
    <w:rsid w:val="00746DC1"/>
    <w:rsid w:val="007473E0"/>
    <w:rsid w:val="007474F6"/>
    <w:rsid w:val="00747B90"/>
    <w:rsid w:val="00747F45"/>
    <w:rsid w:val="00750BD3"/>
    <w:rsid w:val="00751FA8"/>
    <w:rsid w:val="00753A76"/>
    <w:rsid w:val="007549C4"/>
    <w:rsid w:val="007560AF"/>
    <w:rsid w:val="007564AB"/>
    <w:rsid w:val="007627CD"/>
    <w:rsid w:val="00762B4B"/>
    <w:rsid w:val="0076573A"/>
    <w:rsid w:val="00765E98"/>
    <w:rsid w:val="00766F8D"/>
    <w:rsid w:val="00767212"/>
    <w:rsid w:val="00767763"/>
    <w:rsid w:val="00767BDF"/>
    <w:rsid w:val="0077240B"/>
    <w:rsid w:val="00773A41"/>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7B"/>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55CE"/>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16C"/>
    <w:rsid w:val="00901D52"/>
    <w:rsid w:val="00905613"/>
    <w:rsid w:val="00906E61"/>
    <w:rsid w:val="00910C09"/>
    <w:rsid w:val="0092194A"/>
    <w:rsid w:val="00922D2E"/>
    <w:rsid w:val="009231A3"/>
    <w:rsid w:val="00923A09"/>
    <w:rsid w:val="00924613"/>
    <w:rsid w:val="009253AC"/>
    <w:rsid w:val="0092676D"/>
    <w:rsid w:val="0092789F"/>
    <w:rsid w:val="009278D4"/>
    <w:rsid w:val="00930BF1"/>
    <w:rsid w:val="00933529"/>
    <w:rsid w:val="00935B95"/>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8F8"/>
    <w:rsid w:val="00955D15"/>
    <w:rsid w:val="00960753"/>
    <w:rsid w:val="00962B33"/>
    <w:rsid w:val="0096427A"/>
    <w:rsid w:val="00965D36"/>
    <w:rsid w:val="0096766F"/>
    <w:rsid w:val="00967DC9"/>
    <w:rsid w:val="00971400"/>
    <w:rsid w:val="00973324"/>
    <w:rsid w:val="00975D43"/>
    <w:rsid w:val="00982B8F"/>
    <w:rsid w:val="009865E7"/>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C7E4C"/>
    <w:rsid w:val="009D1675"/>
    <w:rsid w:val="009D2F77"/>
    <w:rsid w:val="009D34AD"/>
    <w:rsid w:val="009D3918"/>
    <w:rsid w:val="009D7E3A"/>
    <w:rsid w:val="009E0B5B"/>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2A38"/>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267"/>
    <w:rsid w:val="00A67B92"/>
    <w:rsid w:val="00A750D1"/>
    <w:rsid w:val="00A7530F"/>
    <w:rsid w:val="00A76C28"/>
    <w:rsid w:val="00A77F7B"/>
    <w:rsid w:val="00A810CD"/>
    <w:rsid w:val="00A8233C"/>
    <w:rsid w:val="00A8234A"/>
    <w:rsid w:val="00A825D6"/>
    <w:rsid w:val="00A82AD9"/>
    <w:rsid w:val="00A82DDA"/>
    <w:rsid w:val="00A83A0E"/>
    <w:rsid w:val="00A842B9"/>
    <w:rsid w:val="00A84B3E"/>
    <w:rsid w:val="00A85439"/>
    <w:rsid w:val="00A8651F"/>
    <w:rsid w:val="00A92259"/>
    <w:rsid w:val="00A9612B"/>
    <w:rsid w:val="00AA1302"/>
    <w:rsid w:val="00AA1B52"/>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2999"/>
    <w:rsid w:val="00AC3FC4"/>
    <w:rsid w:val="00AC41C6"/>
    <w:rsid w:val="00AC4EFD"/>
    <w:rsid w:val="00AC5A94"/>
    <w:rsid w:val="00AD0045"/>
    <w:rsid w:val="00AD02F5"/>
    <w:rsid w:val="00AD0D22"/>
    <w:rsid w:val="00AD152C"/>
    <w:rsid w:val="00AD3317"/>
    <w:rsid w:val="00AD417C"/>
    <w:rsid w:val="00AD4BED"/>
    <w:rsid w:val="00AD6CF5"/>
    <w:rsid w:val="00AD7182"/>
    <w:rsid w:val="00AD78A7"/>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6AE8"/>
    <w:rsid w:val="00AF74C6"/>
    <w:rsid w:val="00AF7D6A"/>
    <w:rsid w:val="00B002A7"/>
    <w:rsid w:val="00B01870"/>
    <w:rsid w:val="00B01A0F"/>
    <w:rsid w:val="00B0387C"/>
    <w:rsid w:val="00B03F00"/>
    <w:rsid w:val="00B04710"/>
    <w:rsid w:val="00B05AE4"/>
    <w:rsid w:val="00B10336"/>
    <w:rsid w:val="00B12C4E"/>
    <w:rsid w:val="00B12C59"/>
    <w:rsid w:val="00B13800"/>
    <w:rsid w:val="00B13B22"/>
    <w:rsid w:val="00B13EAB"/>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339"/>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2AF4"/>
    <w:rsid w:val="00BA368A"/>
    <w:rsid w:val="00BA43AB"/>
    <w:rsid w:val="00BA5EB1"/>
    <w:rsid w:val="00BA64AD"/>
    <w:rsid w:val="00BA797D"/>
    <w:rsid w:val="00BB0E0C"/>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6552"/>
    <w:rsid w:val="00BD7B85"/>
    <w:rsid w:val="00BE227B"/>
    <w:rsid w:val="00BE2CF9"/>
    <w:rsid w:val="00BE2D01"/>
    <w:rsid w:val="00BE5F2A"/>
    <w:rsid w:val="00BE61EE"/>
    <w:rsid w:val="00BF0ECF"/>
    <w:rsid w:val="00BF154B"/>
    <w:rsid w:val="00BF29EC"/>
    <w:rsid w:val="00BF3314"/>
    <w:rsid w:val="00BF3731"/>
    <w:rsid w:val="00BF4503"/>
    <w:rsid w:val="00BF46E7"/>
    <w:rsid w:val="00BF60CA"/>
    <w:rsid w:val="00BF773F"/>
    <w:rsid w:val="00C012F8"/>
    <w:rsid w:val="00C01B37"/>
    <w:rsid w:val="00C01EB2"/>
    <w:rsid w:val="00C028F7"/>
    <w:rsid w:val="00C03C90"/>
    <w:rsid w:val="00C044AC"/>
    <w:rsid w:val="00C04852"/>
    <w:rsid w:val="00C04A28"/>
    <w:rsid w:val="00C076B0"/>
    <w:rsid w:val="00C07948"/>
    <w:rsid w:val="00C07EEE"/>
    <w:rsid w:val="00C1316A"/>
    <w:rsid w:val="00C15407"/>
    <w:rsid w:val="00C155F6"/>
    <w:rsid w:val="00C1648C"/>
    <w:rsid w:val="00C20A95"/>
    <w:rsid w:val="00C2191B"/>
    <w:rsid w:val="00C23FF6"/>
    <w:rsid w:val="00C248F8"/>
    <w:rsid w:val="00C27330"/>
    <w:rsid w:val="00C27706"/>
    <w:rsid w:val="00C2796B"/>
    <w:rsid w:val="00C318D6"/>
    <w:rsid w:val="00C32D4E"/>
    <w:rsid w:val="00C35664"/>
    <w:rsid w:val="00C41C82"/>
    <w:rsid w:val="00C42F15"/>
    <w:rsid w:val="00C4325A"/>
    <w:rsid w:val="00C435FF"/>
    <w:rsid w:val="00C46E51"/>
    <w:rsid w:val="00C47130"/>
    <w:rsid w:val="00C517E9"/>
    <w:rsid w:val="00C523EE"/>
    <w:rsid w:val="00C53CF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7E9"/>
    <w:rsid w:val="00C80DC8"/>
    <w:rsid w:val="00C819A3"/>
    <w:rsid w:val="00C82308"/>
    <w:rsid w:val="00C8452F"/>
    <w:rsid w:val="00C8542F"/>
    <w:rsid w:val="00C85C13"/>
    <w:rsid w:val="00C90741"/>
    <w:rsid w:val="00C90D51"/>
    <w:rsid w:val="00C9114D"/>
    <w:rsid w:val="00C93768"/>
    <w:rsid w:val="00C94B27"/>
    <w:rsid w:val="00C9730F"/>
    <w:rsid w:val="00C97B13"/>
    <w:rsid w:val="00CA1E22"/>
    <w:rsid w:val="00CA29F5"/>
    <w:rsid w:val="00CA3409"/>
    <w:rsid w:val="00CA3699"/>
    <w:rsid w:val="00CA4ED6"/>
    <w:rsid w:val="00CA502D"/>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6D0F"/>
    <w:rsid w:val="00CE7577"/>
    <w:rsid w:val="00CF177B"/>
    <w:rsid w:val="00CF181F"/>
    <w:rsid w:val="00CF21ED"/>
    <w:rsid w:val="00CF26BA"/>
    <w:rsid w:val="00CF4A90"/>
    <w:rsid w:val="00D00290"/>
    <w:rsid w:val="00D025B7"/>
    <w:rsid w:val="00D026E9"/>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004"/>
    <w:rsid w:val="00D83AF2"/>
    <w:rsid w:val="00D841C5"/>
    <w:rsid w:val="00D84AD7"/>
    <w:rsid w:val="00D85F24"/>
    <w:rsid w:val="00D879ED"/>
    <w:rsid w:val="00D908CB"/>
    <w:rsid w:val="00D91AD2"/>
    <w:rsid w:val="00D9322E"/>
    <w:rsid w:val="00D936AA"/>
    <w:rsid w:val="00D9371E"/>
    <w:rsid w:val="00D94836"/>
    <w:rsid w:val="00D97681"/>
    <w:rsid w:val="00DA1B88"/>
    <w:rsid w:val="00DA41AC"/>
    <w:rsid w:val="00DA45EF"/>
    <w:rsid w:val="00DA760C"/>
    <w:rsid w:val="00DB1184"/>
    <w:rsid w:val="00DB53DB"/>
    <w:rsid w:val="00DB5456"/>
    <w:rsid w:val="00DB59C3"/>
    <w:rsid w:val="00DB6275"/>
    <w:rsid w:val="00DB6514"/>
    <w:rsid w:val="00DB6563"/>
    <w:rsid w:val="00DB7333"/>
    <w:rsid w:val="00DB7E99"/>
    <w:rsid w:val="00DC0346"/>
    <w:rsid w:val="00DC1102"/>
    <w:rsid w:val="00DC1103"/>
    <w:rsid w:val="00DC4B9C"/>
    <w:rsid w:val="00DC4C4A"/>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075"/>
    <w:rsid w:val="00DE4C60"/>
    <w:rsid w:val="00DE5104"/>
    <w:rsid w:val="00DF0150"/>
    <w:rsid w:val="00DF2B4F"/>
    <w:rsid w:val="00DF2BBC"/>
    <w:rsid w:val="00DF5339"/>
    <w:rsid w:val="00DF5581"/>
    <w:rsid w:val="00DF629B"/>
    <w:rsid w:val="00DF6437"/>
    <w:rsid w:val="00DF784B"/>
    <w:rsid w:val="00E007A6"/>
    <w:rsid w:val="00E01174"/>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0B7C"/>
    <w:rsid w:val="00E21A8F"/>
    <w:rsid w:val="00E227A1"/>
    <w:rsid w:val="00E23F43"/>
    <w:rsid w:val="00E249FF"/>
    <w:rsid w:val="00E26956"/>
    <w:rsid w:val="00E26F84"/>
    <w:rsid w:val="00E26FE4"/>
    <w:rsid w:val="00E31B4D"/>
    <w:rsid w:val="00E32A9C"/>
    <w:rsid w:val="00E34CD2"/>
    <w:rsid w:val="00E35F5A"/>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69F0"/>
    <w:rsid w:val="00EC7BC4"/>
    <w:rsid w:val="00ED0F0D"/>
    <w:rsid w:val="00ED17AC"/>
    <w:rsid w:val="00ED22EF"/>
    <w:rsid w:val="00ED2F19"/>
    <w:rsid w:val="00ED46CC"/>
    <w:rsid w:val="00ED4A83"/>
    <w:rsid w:val="00ED540F"/>
    <w:rsid w:val="00EE492E"/>
    <w:rsid w:val="00EE6164"/>
    <w:rsid w:val="00EE6A36"/>
    <w:rsid w:val="00EF1DBB"/>
    <w:rsid w:val="00EF231D"/>
    <w:rsid w:val="00EF46A9"/>
    <w:rsid w:val="00EF4C47"/>
    <w:rsid w:val="00F008E6"/>
    <w:rsid w:val="00F00D86"/>
    <w:rsid w:val="00F00ED3"/>
    <w:rsid w:val="00F0348F"/>
    <w:rsid w:val="00F074C8"/>
    <w:rsid w:val="00F14CB9"/>
    <w:rsid w:val="00F15507"/>
    <w:rsid w:val="00F175CC"/>
    <w:rsid w:val="00F2109F"/>
    <w:rsid w:val="00F21F05"/>
    <w:rsid w:val="00F224DE"/>
    <w:rsid w:val="00F24FC8"/>
    <w:rsid w:val="00F250FC"/>
    <w:rsid w:val="00F26BF5"/>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5ED9"/>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0D9E"/>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0624D196"/>
  <w15:docId w15:val="{ADFABE24-D7AE-44B2-A60B-F50CCA0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qFormat/>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C90741"/>
    <w:rPr>
      <w:rFonts w:ascii="Arial" w:hAnsi="Arial"/>
      <w:color w:val="0F0F0F" w:themeColor="text1"/>
      <w:sz w:val="24"/>
      <w:szCs w:val="24"/>
      <w:lang w:eastAsia="en-US"/>
    </w:rPr>
  </w:style>
  <w:style w:type="paragraph" w:customStyle="1" w:styleId="StyleLeft165cm">
    <w:name w:val="Style Left:  1.65 cm"/>
    <w:basedOn w:val="Normal"/>
    <w:rsid w:val="00577824"/>
    <w:pPr>
      <w:spacing w:after="120"/>
      <w:textboxTightWrap w:val="none"/>
    </w:pPr>
    <w:rPr>
      <w:color w:val="auto"/>
      <w:szCs w:val="20"/>
    </w:rPr>
  </w:style>
  <w:style w:type="paragraph" w:customStyle="1" w:styleId="Appendix1">
    <w:name w:val="Appendix 1"/>
    <w:basedOn w:val="Heading1"/>
    <w:link w:val="Appendix1Char"/>
    <w:qFormat/>
    <w:rsid w:val="00BA2AF4"/>
    <w:pPr>
      <w:numPr>
        <w:numId w:val="0"/>
      </w:numPr>
    </w:pPr>
  </w:style>
  <w:style w:type="character" w:customStyle="1" w:styleId="Appendix1Char">
    <w:name w:val="Appendix 1 Char"/>
    <w:basedOn w:val="Heading1Char"/>
    <w:link w:val="Appendix1"/>
    <w:rsid w:val="00BA2AF4"/>
    <w:rPr>
      <w:rFonts w:ascii="Arial" w:hAnsi="Arial" w:cs="Arial"/>
      <w:b/>
      <w:bCs/>
      <w:color w:val="005EB8" w:themeColor="accent1"/>
      <w:spacing w:val="-14"/>
      <w:kern w:val="28"/>
      <w:sz w:val="42"/>
      <w:szCs w:val="3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41253588">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en.wikipedia.org/wiki/Medical_terms"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e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ckm.apperta.org/ckm/" TargetMode="External"/><Relationship Id="rId27" Type="http://schemas.openxmlformats.org/officeDocument/2006/relationships/image" Target="media/image9.png"/><Relationship Id="rId30" Type="http://schemas.openxmlformats.org/officeDocument/2006/relationships/footer" Target="footer3.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44546A"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
      <w:docPartPr>
        <w:name w:val="F9565CC7EF89443C8FE48AEC43A4992C"/>
        <w:category>
          <w:name w:val="General"/>
          <w:gallery w:val="placeholder"/>
        </w:category>
        <w:types>
          <w:type w:val="bbPlcHdr"/>
        </w:types>
        <w:behaviors>
          <w:behavior w:val="content"/>
        </w:behaviors>
        <w:guid w:val="{1C0A9197-DA9B-448E-9311-34FD375533A9}"/>
      </w:docPartPr>
      <w:docPartBody>
        <w:p w:rsidR="00706E9F" w:rsidRDefault="00706E9F">
          <w:pPr>
            <w:pStyle w:val="F9565CC7EF89443C8FE48AEC43A4992C"/>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E9F"/>
    <w:rsid w:val="001C6924"/>
    <w:rsid w:val="00257DF1"/>
    <w:rsid w:val="002E0C57"/>
    <w:rsid w:val="00691FF2"/>
    <w:rsid w:val="006E1F0B"/>
    <w:rsid w:val="00706E9F"/>
    <w:rsid w:val="0077217B"/>
    <w:rsid w:val="00936180"/>
    <w:rsid w:val="00D37DEC"/>
    <w:rsid w:val="00DA34E2"/>
    <w:rsid w:val="00EE6134"/>
    <w:rsid w:val="00FB5C6F"/>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2018-10-09T00:00:00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3.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5.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6.xml><?xml version="1.0" encoding="utf-8"?>
<ds:datastoreItem xmlns:ds="http://schemas.openxmlformats.org/officeDocument/2006/customXml" ds:itemID="{9C3DBEA7-A116-4A83-BCEE-3AEB3F511689}">
  <ds:schemaRefs>
    <ds:schemaRef ds:uri="office.server.policy"/>
  </ds:schemaRefs>
</ds:datastoreItem>
</file>

<file path=customXml/itemProps7.xml><?xml version="1.0" encoding="utf-8"?>
<ds:datastoreItem xmlns:ds="http://schemas.openxmlformats.org/officeDocument/2006/customXml" ds:itemID="{B678392B-0618-4546-9BC4-F8C45931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GPSoC Allergy Archetype Implementation Guidance</vt:lpstr>
    </vt:vector>
  </TitlesOfParts>
  <Company>Health &amp; Social Care Information Centre</Company>
  <LinksUpToDate>false</LinksUpToDate>
  <CharactersWithSpaces>12376</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GPSoC Allergy Archetype Implementation Guidance</dc:title>
  <dc:creator>Michael Hitchins</dc:creator>
  <cp:lastModifiedBy>Peter Salisbury</cp:lastModifiedBy>
  <cp:revision>3</cp:revision>
  <cp:lastPrinted>2018-09-28T11:24:00Z</cp:lastPrinted>
  <dcterms:created xsi:type="dcterms:W3CDTF">2018-10-09T11:02:00Z</dcterms:created>
  <dcterms:modified xsi:type="dcterms:W3CDTF">2018-10-09T11:24:00Z</dcterms:modified>
  <cp:category>1</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