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9A26" w14:textId="77777777" w:rsidR="00B06F19" w:rsidRDefault="009A2766">
      <w:pPr>
        <w:pStyle w:val="NoNumTitle-Clause"/>
        <w:rPr>
          <w:sz w:val="20"/>
          <w:lang w:val="en-US"/>
        </w:rPr>
      </w:pPr>
      <w:bookmarkStart w:id="0" w:name="_GoBack"/>
      <w:bookmarkEnd w:id="0"/>
      <w:r>
        <w:rPr>
          <w:sz w:val="20"/>
          <w:lang w:val="en-US"/>
        </w:rPr>
        <w:t>COMMERCIAL STANDARD AND MODEL INTERFACE LICENCE</w:t>
      </w:r>
    </w:p>
    <w:tbl>
      <w:tblPr>
        <w:tblW w:w="0" w:type="auto"/>
        <w:tblInd w:w="720" w:type="dxa"/>
        <w:tblCellMar>
          <w:left w:w="0" w:type="dxa"/>
          <w:right w:w="0" w:type="dxa"/>
        </w:tblCellMar>
        <w:tblLook w:val="04A0" w:firstRow="1" w:lastRow="0" w:firstColumn="1" w:lastColumn="0" w:noHBand="0" w:noVBand="1"/>
      </w:tblPr>
      <w:tblGrid>
        <w:gridCol w:w="2626"/>
        <w:gridCol w:w="3351"/>
      </w:tblGrid>
      <w:tr w:rsidR="00B06F19" w14:paraId="317BA63E" w14:textId="77777777">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967D7" w14:textId="77777777" w:rsidR="00B06F19" w:rsidRDefault="009A2766">
            <w:pPr>
              <w:overflowPunct w:val="0"/>
              <w:autoSpaceDE w:val="0"/>
              <w:autoSpaceDN w:val="0"/>
              <w:spacing w:before="120" w:after="120" w:line="240" w:lineRule="atLeast"/>
              <w:jc w:val="both"/>
              <w:rPr>
                <w:rFonts w:ascii="Arial" w:eastAsia="Calibri" w:hAnsi="Arial" w:cs="Arial"/>
                <w:b/>
                <w:bCs/>
                <w:color w:val="000000"/>
                <w:sz w:val="20"/>
                <w:szCs w:val="20"/>
              </w:rPr>
            </w:pPr>
            <w:r>
              <w:rPr>
                <w:rFonts w:ascii="Arial" w:hAnsi="Arial" w:cs="Arial"/>
                <w:b/>
                <w:bCs/>
                <w:sz w:val="20"/>
                <w:szCs w:val="20"/>
              </w:rPr>
              <w:t>Date</w:t>
            </w:r>
          </w:p>
        </w:tc>
        <w:tc>
          <w:tcPr>
            <w:tcW w:w="3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17A3E" w14:textId="77777777" w:rsidR="00B06F19" w:rsidRDefault="009A2766">
            <w:pPr>
              <w:overflowPunct w:val="0"/>
              <w:autoSpaceDE w:val="0"/>
              <w:autoSpaceDN w:val="0"/>
              <w:spacing w:before="120" w:after="120" w:line="240" w:lineRule="atLeast"/>
              <w:jc w:val="both"/>
              <w:rPr>
                <w:rFonts w:ascii="Arial" w:eastAsia="Calibri" w:hAnsi="Arial" w:cs="Arial"/>
                <w:b/>
                <w:bCs/>
                <w:color w:val="000000"/>
                <w:sz w:val="20"/>
                <w:szCs w:val="20"/>
              </w:rPr>
            </w:pPr>
            <w:r>
              <w:rPr>
                <w:rFonts w:ascii="Arial" w:hAnsi="Arial" w:cs="Arial"/>
                <w:b/>
                <w:bCs/>
                <w:sz w:val="20"/>
                <w:szCs w:val="20"/>
              </w:rPr>
              <w:t>Version</w:t>
            </w:r>
          </w:p>
        </w:tc>
      </w:tr>
      <w:tr w:rsidR="00B06F19" w14:paraId="44BF38EA" w14:textId="77777777">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56CF7" w14:textId="77777777" w:rsidR="00B06F19" w:rsidRDefault="009A2766">
            <w:pPr>
              <w:overflowPunct w:val="0"/>
              <w:autoSpaceDE w:val="0"/>
              <w:autoSpaceDN w:val="0"/>
              <w:spacing w:before="120" w:after="120" w:line="240" w:lineRule="atLeast"/>
              <w:jc w:val="both"/>
              <w:rPr>
                <w:rFonts w:ascii="Arial" w:eastAsia="Calibri" w:hAnsi="Arial" w:cs="Arial"/>
                <w:color w:val="000000"/>
                <w:sz w:val="20"/>
                <w:szCs w:val="20"/>
              </w:rPr>
            </w:pPr>
            <w:r>
              <w:rPr>
                <w:rFonts w:ascii="Arial" w:hAnsi="Arial" w:cs="Arial"/>
                <w:sz w:val="20"/>
                <w:szCs w:val="20"/>
              </w:rPr>
              <w:t>23 May 2019</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14:paraId="385234C5" w14:textId="77777777" w:rsidR="00B06F19" w:rsidRDefault="009A2766">
            <w:pPr>
              <w:overflowPunct w:val="0"/>
              <w:autoSpaceDE w:val="0"/>
              <w:autoSpaceDN w:val="0"/>
              <w:spacing w:before="120" w:after="120" w:line="240" w:lineRule="atLeast"/>
              <w:jc w:val="both"/>
              <w:rPr>
                <w:rFonts w:ascii="Arial" w:eastAsia="Calibri" w:hAnsi="Arial" w:cs="Arial"/>
                <w:color w:val="000000"/>
                <w:sz w:val="20"/>
                <w:szCs w:val="20"/>
              </w:rPr>
            </w:pPr>
            <w:r>
              <w:rPr>
                <w:rFonts w:ascii="Arial" w:hAnsi="Arial" w:cs="Arial"/>
                <w:sz w:val="20"/>
                <w:szCs w:val="20"/>
              </w:rPr>
              <w:t>ITT</w:t>
            </w:r>
          </w:p>
        </w:tc>
      </w:tr>
    </w:tbl>
    <w:p w14:paraId="76F7508E" w14:textId="77777777" w:rsidR="00B06F19" w:rsidRDefault="00B06F19">
      <w:pPr>
        <w:rPr>
          <w:rFonts w:ascii="Times New Roman" w:eastAsia="Times New Roman" w:hAnsi="Times New Roman" w:cs="Times New Roman"/>
          <w:b/>
          <w:color w:val="212121"/>
          <w:sz w:val="22"/>
          <w:szCs w:val="22"/>
        </w:rPr>
      </w:pPr>
    </w:p>
    <w:p w14:paraId="08DA58D7" w14:textId="77777777" w:rsidR="00B06F19" w:rsidRDefault="00B06F19">
      <w:pPr>
        <w:rPr>
          <w:rFonts w:ascii="Times New Roman" w:eastAsia="Times New Roman" w:hAnsi="Times New Roman" w:cs="Times New Roman"/>
          <w:b/>
          <w:color w:val="212121"/>
          <w:sz w:val="22"/>
          <w:szCs w:val="22"/>
        </w:rPr>
      </w:pPr>
    </w:p>
    <w:p w14:paraId="3B8EF052" w14:textId="77777777" w:rsidR="00B06F19" w:rsidRDefault="009A2766">
      <w:pPr>
        <w:rPr>
          <w:rFonts w:ascii="Times New Roman" w:eastAsia="Times New Roman" w:hAnsi="Times New Roman" w:cs="Times New Roman"/>
          <w:b/>
          <w:color w:val="212121"/>
          <w:sz w:val="22"/>
          <w:szCs w:val="22"/>
        </w:rPr>
      </w:pPr>
      <w:r>
        <w:rPr>
          <w:rFonts w:ascii="Times New Roman" w:eastAsia="Times New Roman" w:hAnsi="Times New Roman" w:cs="Times New Roman"/>
          <w:b/>
          <w:color w:val="212121"/>
          <w:sz w:val="22"/>
          <w:szCs w:val="22"/>
        </w:rPr>
        <w:br w:type="page"/>
      </w:r>
    </w:p>
    <w:p w14:paraId="75A646D0" w14:textId="77777777" w:rsidR="00B06F19" w:rsidRDefault="009A2766">
      <w:pPr>
        <w:jc w:val="both"/>
        <w:rPr>
          <w:rFonts w:ascii="Arial" w:eastAsia="Times New Roman" w:hAnsi="Arial" w:cs="Arial"/>
          <w:b/>
          <w:color w:val="212121"/>
          <w:sz w:val="20"/>
          <w:szCs w:val="20"/>
        </w:rPr>
      </w:pPr>
      <w:r>
        <w:rPr>
          <w:rFonts w:ascii="Arial" w:eastAsia="Times New Roman" w:hAnsi="Arial" w:cs="Arial"/>
          <w:b/>
          <w:color w:val="212121"/>
          <w:sz w:val="20"/>
          <w:szCs w:val="20"/>
        </w:rPr>
        <w:lastRenderedPageBreak/>
        <w:t>Section A</w:t>
      </w:r>
    </w:p>
    <w:p w14:paraId="06F78F47"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Scope </w:t>
      </w:r>
    </w:p>
    <w:p w14:paraId="6240580E"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 w:name="_Ref8216260"/>
      <w:r>
        <w:rPr>
          <w:rFonts w:ascii="Arial" w:eastAsia="Times New Roman" w:hAnsi="Arial" w:cs="Arial"/>
          <w:color w:val="212121"/>
          <w:sz w:val="20"/>
          <w:szCs w:val="20"/>
        </w:rPr>
        <w:t>This document (the "</w:t>
      </w:r>
      <w:r>
        <w:rPr>
          <w:rFonts w:ascii="Arial" w:eastAsia="Times New Roman" w:hAnsi="Arial" w:cs="Arial"/>
          <w:b/>
          <w:color w:val="212121"/>
          <w:sz w:val="20"/>
          <w:szCs w:val="20"/>
        </w:rPr>
        <w:t>Commercial Standard</w:t>
      </w:r>
      <w:r>
        <w:rPr>
          <w:rFonts w:ascii="Arial" w:eastAsia="Times New Roman" w:hAnsi="Arial" w:cs="Arial"/>
          <w:color w:val="212121"/>
          <w:sz w:val="20"/>
          <w:szCs w:val="20"/>
        </w:rPr>
        <w:t xml:space="preserve">") sets out the conditions and behaviours required in respect of commercial activity relating to the </w:t>
      </w:r>
      <w:r>
        <w:rPr>
          <w:rFonts w:ascii="Arial" w:eastAsia="Times New Roman" w:hAnsi="Arial" w:cs="Arial"/>
          <w:color w:val="212121"/>
          <w:sz w:val="20"/>
          <w:szCs w:val="20"/>
        </w:rPr>
        <w:t>provision of Catalogue Solutions sold via associated Framework Agreements or other purchasing vehicles.</w:t>
      </w:r>
      <w:bookmarkEnd w:id="1"/>
      <w:r>
        <w:rPr>
          <w:rFonts w:ascii="Arial" w:eastAsia="Times New Roman" w:hAnsi="Arial" w:cs="Arial"/>
          <w:color w:val="212121"/>
          <w:sz w:val="20"/>
          <w:szCs w:val="20"/>
        </w:rPr>
        <w:t xml:space="preserve">  </w:t>
      </w:r>
    </w:p>
    <w:p w14:paraId="597EF2F1"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This Commercial Standard:</w:t>
      </w:r>
    </w:p>
    <w:p w14:paraId="763AE9EE"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underpins how a Catalogue Solution is sold, including the principles of charging; and</w:t>
      </w:r>
    </w:p>
    <w:p w14:paraId="4D2D3C42"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defines the basis on which data access</w:t>
      </w:r>
      <w:r>
        <w:rPr>
          <w:rFonts w:ascii="Arial" w:eastAsia="Times New Roman" w:hAnsi="Arial" w:cs="Arial"/>
          <w:color w:val="212121"/>
          <w:sz w:val="20"/>
          <w:szCs w:val="20"/>
        </w:rPr>
        <w:t xml:space="preserve"> and Interface Services are offered to any requesting party, in conjunction with the Interoperability Standard and Model Interface Licence.</w:t>
      </w:r>
    </w:p>
    <w:p w14:paraId="5B6D7FEC"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In addition to the specific provisions of this Commercial Standard, all suppliers that have signed up to the Catalog</w:t>
      </w:r>
      <w:r>
        <w:rPr>
          <w:rFonts w:ascii="Arial" w:eastAsia="Times New Roman" w:hAnsi="Arial" w:cs="Arial"/>
          <w:color w:val="212121"/>
          <w:sz w:val="20"/>
          <w:szCs w:val="20"/>
        </w:rPr>
        <w:t>ue Agreement shall, in the conduct of their operations, comply with the "</w:t>
      </w:r>
      <w:r>
        <w:rPr>
          <w:rFonts w:ascii="Arial" w:eastAsia="Times New Roman" w:hAnsi="Arial" w:cs="Arial"/>
          <w:b/>
          <w:i/>
          <w:color w:val="212121"/>
          <w:sz w:val="20"/>
          <w:szCs w:val="20"/>
        </w:rPr>
        <w:t>NHS Commercial and Behavioural Principles</w:t>
      </w:r>
      <w:r>
        <w:rPr>
          <w:rFonts w:ascii="Arial" w:eastAsia="Times New Roman" w:hAnsi="Arial" w:cs="Arial"/>
          <w:color w:val="212121"/>
          <w:sz w:val="20"/>
          <w:szCs w:val="20"/>
        </w:rPr>
        <w:t>"</w:t>
      </w:r>
      <w:r>
        <w:rPr>
          <w:rStyle w:val="FootnoteReference"/>
          <w:rFonts w:ascii="Arial" w:eastAsia="Times New Roman" w:hAnsi="Arial" w:cs="Arial"/>
          <w:i/>
          <w:color w:val="212121"/>
          <w:sz w:val="20"/>
          <w:szCs w:val="20"/>
        </w:rPr>
        <w:footnoteReference w:id="1"/>
      </w:r>
      <w:r>
        <w:rPr>
          <w:rFonts w:ascii="Arial" w:eastAsia="Times New Roman" w:hAnsi="Arial" w:cs="Arial"/>
          <w:color w:val="212121"/>
          <w:sz w:val="20"/>
          <w:szCs w:val="20"/>
        </w:rPr>
        <w:t xml:space="preserve"> as made available from time to time by the Catalogue Authority.</w:t>
      </w:r>
    </w:p>
    <w:p w14:paraId="12D179AC"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 breach of this Commercial Standard shall qualify as a material breach of </w:t>
      </w:r>
      <w:r>
        <w:rPr>
          <w:rFonts w:ascii="Arial" w:eastAsia="Times New Roman" w:hAnsi="Arial" w:cs="Arial"/>
          <w:color w:val="212121"/>
          <w:sz w:val="20"/>
          <w:szCs w:val="20"/>
        </w:rPr>
        <w:t xml:space="preserve">the Catalogue Agreement.  </w:t>
      </w:r>
    </w:p>
    <w:p w14:paraId="09357568"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Capitalised terms will be interpreted in accordance with the definitions set out in the glossary at Annex 3 of this Commercial Standard, or the definitions within the Model Interface Licence, or Schedule 1 of the Catalogue Agreem</w:t>
      </w:r>
      <w:r>
        <w:rPr>
          <w:rFonts w:ascii="Arial" w:eastAsia="Times New Roman" w:hAnsi="Arial" w:cs="Arial"/>
          <w:color w:val="212121"/>
          <w:sz w:val="20"/>
          <w:szCs w:val="20"/>
        </w:rPr>
        <w:t>ent.</w:t>
      </w:r>
    </w:p>
    <w:p w14:paraId="62E5D9EA" w14:textId="77777777" w:rsidR="00B06F19" w:rsidRDefault="009A2766">
      <w:pPr>
        <w:jc w:val="both"/>
        <w:rPr>
          <w:rFonts w:ascii="Arial" w:eastAsia="Times New Roman" w:hAnsi="Arial" w:cs="Arial"/>
          <w:b/>
          <w:color w:val="212121"/>
          <w:sz w:val="20"/>
          <w:szCs w:val="20"/>
        </w:rPr>
      </w:pPr>
      <w:r>
        <w:rPr>
          <w:rFonts w:ascii="Arial" w:eastAsia="Times New Roman" w:hAnsi="Arial" w:cs="Arial"/>
          <w:b/>
          <w:color w:val="212121"/>
          <w:sz w:val="20"/>
          <w:szCs w:val="20"/>
        </w:rPr>
        <w:t>Section B</w:t>
      </w:r>
    </w:p>
    <w:p w14:paraId="26E5DC9F" w14:textId="77777777" w:rsidR="00B06F19" w:rsidRDefault="009A2766">
      <w:pPr>
        <w:jc w:val="both"/>
        <w:rPr>
          <w:rFonts w:ascii="Arial" w:eastAsia="Times New Roman" w:hAnsi="Arial" w:cs="Arial"/>
          <w:b/>
          <w:color w:val="212121"/>
          <w:sz w:val="20"/>
          <w:szCs w:val="20"/>
        </w:rPr>
      </w:pPr>
      <w:r>
        <w:rPr>
          <w:rFonts w:ascii="Arial" w:eastAsia="Times New Roman" w:hAnsi="Arial" w:cs="Arial"/>
          <w:b/>
          <w:color w:val="212121"/>
          <w:sz w:val="20"/>
          <w:szCs w:val="20"/>
        </w:rPr>
        <w:t>Principles of Service Charging</w:t>
      </w:r>
    </w:p>
    <w:p w14:paraId="5B4D87D7" w14:textId="77777777" w:rsidR="00B06F19" w:rsidRDefault="00B06F19">
      <w:pPr>
        <w:jc w:val="both"/>
        <w:rPr>
          <w:rFonts w:ascii="Arial" w:eastAsia="Times New Roman" w:hAnsi="Arial" w:cs="Arial"/>
          <w:color w:val="212121"/>
          <w:sz w:val="20"/>
          <w:szCs w:val="20"/>
        </w:rPr>
      </w:pPr>
    </w:p>
    <w:p w14:paraId="48613944" w14:textId="77777777" w:rsidR="00B06F19" w:rsidRDefault="009A2766">
      <w:pPr>
        <w:jc w:val="both"/>
        <w:rPr>
          <w:rFonts w:ascii="Arial" w:eastAsia="Times New Roman" w:hAnsi="Arial" w:cs="Arial"/>
          <w:b/>
          <w:color w:val="212121"/>
          <w:sz w:val="20"/>
          <w:szCs w:val="20"/>
        </w:rPr>
      </w:pPr>
      <w:r>
        <w:rPr>
          <w:rFonts w:ascii="Arial" w:eastAsia="Times New Roman" w:hAnsi="Arial" w:cs="Arial"/>
          <w:b/>
          <w:color w:val="212121"/>
          <w:sz w:val="20"/>
          <w:szCs w:val="20"/>
        </w:rPr>
        <w:t>As a Service</w:t>
      </w:r>
    </w:p>
    <w:p w14:paraId="54DED0B3" w14:textId="77777777" w:rsidR="00B06F19" w:rsidRDefault="00B06F19">
      <w:pPr>
        <w:jc w:val="both"/>
        <w:rPr>
          <w:rFonts w:ascii="Arial" w:eastAsia="Times New Roman" w:hAnsi="Arial" w:cs="Arial"/>
          <w:b/>
          <w:color w:val="212121"/>
          <w:sz w:val="20"/>
          <w:szCs w:val="20"/>
        </w:rPr>
      </w:pPr>
    </w:p>
    <w:p w14:paraId="02F94B8E"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2" w:name="_Ref3196527"/>
      <w:r>
        <w:rPr>
          <w:rFonts w:ascii="Arial" w:eastAsia="Times New Roman" w:hAnsi="Arial" w:cs="Arial"/>
          <w:color w:val="212121"/>
          <w:sz w:val="20"/>
          <w:szCs w:val="20"/>
        </w:rPr>
        <w:t xml:space="preserve">All Catalogue Solutions shall be considered deliverable ‘as a service’; as such, unit pricing shall reflect this with a single periodic charge representing the delivery of the whole scope of </w:t>
      </w:r>
      <w:r>
        <w:rPr>
          <w:rFonts w:ascii="Arial" w:eastAsia="Times New Roman" w:hAnsi="Arial" w:cs="Arial"/>
          <w:color w:val="212121"/>
          <w:sz w:val="20"/>
          <w:szCs w:val="20"/>
        </w:rPr>
        <w:t>the Catalogue Solution as advertised to Service Recipients' user devices over each defined period (“</w:t>
      </w:r>
      <w:r>
        <w:rPr>
          <w:rFonts w:ascii="Arial" w:eastAsia="Times New Roman" w:hAnsi="Arial" w:cs="Arial"/>
          <w:b/>
          <w:color w:val="212121"/>
          <w:sz w:val="20"/>
          <w:szCs w:val="20"/>
        </w:rPr>
        <w:t>Periodic Service Charge</w:t>
      </w:r>
      <w:r>
        <w:rPr>
          <w:rFonts w:ascii="Arial" w:eastAsia="Times New Roman" w:hAnsi="Arial" w:cs="Arial"/>
          <w:color w:val="212121"/>
          <w:sz w:val="20"/>
          <w:szCs w:val="20"/>
        </w:rPr>
        <w:t xml:space="preserve">”). </w:t>
      </w:r>
    </w:p>
    <w:bookmarkEnd w:id="2"/>
    <w:p w14:paraId="30D448F9"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Suppliers shall ensure that the Periodic Service Charge for each Catalogue Solution is presented in a way that is:  </w:t>
      </w:r>
    </w:p>
    <w:p w14:paraId="5B004FC0"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simply </w:t>
      </w:r>
      <w:r>
        <w:rPr>
          <w:rFonts w:ascii="Arial" w:eastAsia="Times New Roman" w:hAnsi="Arial" w:cs="Arial"/>
          <w:color w:val="212121"/>
          <w:sz w:val="20"/>
          <w:szCs w:val="20"/>
        </w:rPr>
        <w:t>structured and readily understandable by an appropriately informed non-expert;</w:t>
      </w:r>
    </w:p>
    <w:p w14:paraId="36005AAF"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 and</w:t>
      </w:r>
    </w:p>
    <w:p w14:paraId="46A3AE8F"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calculable based on reasonably available business information. </w:t>
      </w:r>
    </w:p>
    <w:p w14:paraId="106C8CA1"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For each Catalogue Solution, if a S</w:t>
      </w:r>
      <w:r>
        <w:rPr>
          <w:rFonts w:ascii="Arial" w:eastAsia="Times New Roman" w:hAnsi="Arial" w:cs="Arial"/>
          <w:color w:val="212121"/>
          <w:sz w:val="20"/>
          <w:szCs w:val="20"/>
        </w:rPr>
        <w:t xml:space="preserve">upplier is providing Associated Services and/or Additional Services then these must be itemised separately from the Periodic Service Charge.   </w:t>
      </w:r>
    </w:p>
    <w:p w14:paraId="2F5BA673"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For all Associated Services and Additional Services the charges shall be: </w:t>
      </w:r>
    </w:p>
    <w:p w14:paraId="6A0D58D3"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listed separately from the Periodic S</w:t>
      </w:r>
      <w:r>
        <w:rPr>
          <w:rFonts w:ascii="Arial" w:eastAsia="Times New Roman" w:hAnsi="Arial" w:cs="Arial"/>
          <w:color w:val="212121"/>
          <w:sz w:val="20"/>
          <w:szCs w:val="20"/>
        </w:rPr>
        <w:t>ervice Charge;</w:t>
      </w:r>
    </w:p>
    <w:p w14:paraId="1D1588B2"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simply structured and readily understandable by an appropriately informed non-expert; and</w:t>
      </w:r>
    </w:p>
    <w:p w14:paraId="5E29D9AC"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w:t>
      </w:r>
    </w:p>
    <w:p w14:paraId="0690807E" w14:textId="77777777" w:rsidR="00B06F19" w:rsidRDefault="009A2766">
      <w:pPr>
        <w:spacing w:after="240"/>
        <w:rPr>
          <w:rFonts w:ascii="Arial" w:eastAsia="Times New Roman" w:hAnsi="Arial" w:cs="Arial"/>
          <w:b/>
          <w:color w:val="212121"/>
          <w:sz w:val="20"/>
          <w:szCs w:val="20"/>
        </w:rPr>
      </w:pPr>
      <w:r>
        <w:rPr>
          <w:rFonts w:ascii="Arial" w:eastAsia="Times New Roman" w:hAnsi="Arial" w:cs="Arial"/>
          <w:b/>
          <w:color w:val="212121"/>
          <w:sz w:val="20"/>
          <w:szCs w:val="20"/>
        </w:rPr>
        <w:t>Right To Vary</w:t>
      </w:r>
    </w:p>
    <w:p w14:paraId="709E0F8D"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3" w:name="_Ref8216195"/>
      <w:r>
        <w:rPr>
          <w:rFonts w:ascii="Arial" w:eastAsia="Times New Roman" w:hAnsi="Arial" w:cs="Arial"/>
          <w:color w:val="212121"/>
          <w:sz w:val="20"/>
          <w:szCs w:val="20"/>
        </w:rPr>
        <w:t>Where Suppliers and their customers agree pricing terms which v</w:t>
      </w:r>
      <w:r>
        <w:rPr>
          <w:rFonts w:ascii="Arial" w:eastAsia="Times New Roman" w:hAnsi="Arial" w:cs="Arial"/>
          <w:color w:val="212121"/>
          <w:sz w:val="20"/>
          <w:szCs w:val="20"/>
        </w:rPr>
        <w:t>ary from the pricing structure set out on the Catalogue, or where they agree contract terms with a materially different scope of services, this shall be considered to be a "</w:t>
      </w:r>
      <w:r>
        <w:rPr>
          <w:rFonts w:ascii="Arial" w:eastAsia="Times New Roman" w:hAnsi="Arial" w:cs="Arial"/>
          <w:b/>
          <w:color w:val="212121"/>
          <w:sz w:val="20"/>
          <w:szCs w:val="20"/>
        </w:rPr>
        <w:t>Non-Standard Provision</w:t>
      </w:r>
      <w:r>
        <w:rPr>
          <w:rFonts w:ascii="Arial" w:eastAsia="Times New Roman" w:hAnsi="Arial" w:cs="Arial"/>
          <w:color w:val="212121"/>
          <w:sz w:val="20"/>
          <w:szCs w:val="20"/>
        </w:rPr>
        <w:t>".</w:t>
      </w:r>
      <w:bookmarkEnd w:id="3"/>
      <w:r>
        <w:rPr>
          <w:rFonts w:ascii="Arial" w:eastAsia="Times New Roman" w:hAnsi="Arial" w:cs="Arial"/>
          <w:color w:val="212121"/>
          <w:sz w:val="20"/>
          <w:szCs w:val="20"/>
        </w:rPr>
        <w:t xml:space="preserve"> </w:t>
      </w:r>
    </w:p>
    <w:p w14:paraId="7AC793BF"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4" w:name="_Ref535314330"/>
      <w:r>
        <w:rPr>
          <w:rFonts w:ascii="Arial" w:eastAsia="Times New Roman" w:hAnsi="Arial" w:cs="Arial"/>
          <w:color w:val="212121"/>
          <w:sz w:val="20"/>
          <w:szCs w:val="20"/>
        </w:rPr>
        <w:t xml:space="preserve">Any proposed Non-Standard Provision must be </w:t>
      </w:r>
      <w:r>
        <w:rPr>
          <w:rFonts w:ascii="Arial" w:eastAsia="Times New Roman" w:hAnsi="Arial" w:cs="Arial"/>
          <w:color w:val="212121"/>
          <w:sz w:val="20"/>
          <w:szCs w:val="20"/>
        </w:rPr>
        <w:t>submitted to the Catalogue Authority for approval prior to the execution of any contract which will govern the performance of the Non-Standard Provision.</w:t>
      </w:r>
      <w:bookmarkEnd w:id="4"/>
      <w:r>
        <w:rPr>
          <w:rFonts w:ascii="Arial" w:eastAsia="Times New Roman" w:hAnsi="Arial" w:cs="Arial"/>
          <w:color w:val="212121"/>
          <w:sz w:val="20"/>
          <w:szCs w:val="20"/>
        </w:rPr>
        <w:t xml:space="preserve">  Suppliers do not need approval to offer discounts on its products and services.</w:t>
      </w:r>
    </w:p>
    <w:p w14:paraId="557C0C95"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w:t>
      </w:r>
      <w:r>
        <w:rPr>
          <w:rFonts w:ascii="Arial" w:eastAsia="Times New Roman" w:hAnsi="Arial" w:cs="Arial"/>
          <w:color w:val="212121"/>
          <w:sz w:val="20"/>
          <w:szCs w:val="20"/>
        </w:rPr>
        <w:t>ty shall review any requests for approval of a Non-Standard Provision to consider:</w:t>
      </w:r>
    </w:p>
    <w:p w14:paraId="12FB9642"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evidence of consent from the counter party to the relevant contract;</w:t>
      </w:r>
    </w:p>
    <w:p w14:paraId="58C02B8E"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value for money rationale (e.g. brief rationale, countersigned by the intended Call Off Ordering Party);</w:t>
      </w:r>
      <w:r>
        <w:rPr>
          <w:rFonts w:ascii="Arial" w:eastAsia="Times New Roman" w:hAnsi="Arial" w:cs="Arial"/>
          <w:color w:val="212121"/>
          <w:sz w:val="20"/>
          <w:szCs w:val="20"/>
        </w:rPr>
        <w:t xml:space="preserve"> and</w:t>
      </w:r>
    </w:p>
    <w:p w14:paraId="5F53CEA9"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impact assessment in relation to service continuity, clinical safety and information governance. </w:t>
      </w:r>
    </w:p>
    <w:p w14:paraId="2D2C0EB3"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detailed commercial terms of any Non-Standard Provision shall be considered as confidential information for the purposes of the Catalogue Agreement. </w:t>
      </w:r>
      <w:r>
        <w:rPr>
          <w:rFonts w:ascii="Arial" w:eastAsia="Times New Roman" w:hAnsi="Arial" w:cs="Arial"/>
          <w:color w:val="212121"/>
          <w:sz w:val="20"/>
          <w:szCs w:val="20"/>
        </w:rPr>
        <w:t>However the Catalogue Authority may request a reasonable summary for the purposes of any reporting or transparency obligation applicable to any Customer Authority contracting under the provisions of the Catalogue Agreement.</w:t>
      </w:r>
    </w:p>
    <w:p w14:paraId="0E3CB2AF" w14:textId="77777777" w:rsidR="00B06F19" w:rsidRDefault="00B06F19">
      <w:pPr>
        <w:jc w:val="both"/>
        <w:rPr>
          <w:rFonts w:ascii="Arial" w:eastAsia="Times New Roman" w:hAnsi="Arial" w:cs="Arial"/>
          <w:color w:val="212121"/>
          <w:sz w:val="20"/>
          <w:szCs w:val="20"/>
        </w:rPr>
      </w:pPr>
    </w:p>
    <w:p w14:paraId="499FAC41"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Supplemental Charges: Framework</w:t>
      </w:r>
      <w:r>
        <w:rPr>
          <w:rFonts w:ascii="Arial" w:eastAsia="Times New Roman" w:hAnsi="Arial" w:cs="Arial"/>
          <w:b/>
          <w:color w:val="212121"/>
          <w:sz w:val="20"/>
          <w:szCs w:val="20"/>
        </w:rPr>
        <w:t xml:space="preserve"> Authorities</w:t>
      </w:r>
    </w:p>
    <w:p w14:paraId="0DA01ACC"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5" w:name="_Ref534816606"/>
      <w:bookmarkStart w:id="6" w:name="_Ref535314982"/>
      <w:r>
        <w:rPr>
          <w:rFonts w:ascii="Arial" w:eastAsia="Times New Roman" w:hAnsi="Arial" w:cs="Arial"/>
          <w:color w:val="212121"/>
          <w:sz w:val="20"/>
          <w:szCs w:val="20"/>
        </w:rPr>
        <w:t xml:space="preserve">In order to accelerate investment by the Suppliers in certain technical Standards, Framework Authorities, at their discretion, can choose to supplement charges available to the Suppliers by means of supplementary payments or other contractual </w:t>
      </w:r>
      <w:r>
        <w:rPr>
          <w:rFonts w:ascii="Arial" w:eastAsia="Times New Roman" w:hAnsi="Arial" w:cs="Arial"/>
          <w:color w:val="212121"/>
          <w:sz w:val="20"/>
          <w:szCs w:val="20"/>
        </w:rPr>
        <w:t>incentives.</w:t>
      </w:r>
      <w:bookmarkEnd w:id="5"/>
      <w:r>
        <w:rPr>
          <w:rFonts w:ascii="Arial" w:eastAsia="Times New Roman" w:hAnsi="Arial" w:cs="Arial"/>
          <w:color w:val="212121"/>
          <w:sz w:val="20"/>
          <w:szCs w:val="20"/>
        </w:rPr>
        <w:t xml:space="preserve"> This shall be solely at the discretion of the relevant Framework Authorities and if granted will be subject to any terms agreed between the Framework Authority and the Supplier.</w:t>
      </w:r>
      <w:bookmarkEnd w:id="6"/>
    </w:p>
    <w:p w14:paraId="5230CE23"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Where requested by a Framework Authority, the Catalogue Authority </w:t>
      </w:r>
      <w:r>
        <w:rPr>
          <w:rFonts w:ascii="Arial" w:eastAsia="Times New Roman" w:hAnsi="Arial" w:cs="Arial"/>
          <w:color w:val="212121"/>
          <w:sz w:val="20"/>
          <w:szCs w:val="20"/>
        </w:rPr>
        <w:t>may supply information regarding each Supplier's compliance with the Standards to the requesting party in order to assist in determination of any payments offered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_Ref535314982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Suppliers shall not impede the Catalogue Authority in any way in the performance of this duty. </w:t>
      </w:r>
    </w:p>
    <w:p w14:paraId="3561003D" w14:textId="77777777" w:rsidR="00B06F19" w:rsidRDefault="009A2766">
      <w:pPr>
        <w:keepNext/>
        <w:jc w:val="both"/>
        <w:rPr>
          <w:rFonts w:ascii="Arial" w:eastAsia="Times New Roman" w:hAnsi="Arial" w:cs="Arial"/>
          <w:b/>
          <w:color w:val="212121"/>
          <w:sz w:val="20"/>
          <w:szCs w:val="20"/>
        </w:rPr>
      </w:pPr>
      <w:r>
        <w:rPr>
          <w:rFonts w:ascii="Arial" w:eastAsia="Times New Roman" w:hAnsi="Arial" w:cs="Arial"/>
          <w:b/>
          <w:color w:val="212121"/>
          <w:sz w:val="20"/>
          <w:szCs w:val="20"/>
        </w:rPr>
        <w:lastRenderedPageBreak/>
        <w:t>Section C</w:t>
      </w:r>
    </w:p>
    <w:p w14:paraId="6552F0BC" w14:textId="77777777" w:rsidR="00B06F19" w:rsidRDefault="009A2766">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Access to Data and Commercial Treatment of Systems Interfaces</w:t>
      </w:r>
    </w:p>
    <w:p w14:paraId="39EA4E90" w14:textId="77777777" w:rsidR="00B06F19" w:rsidRDefault="009A2766">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General Principles</w:t>
      </w:r>
    </w:p>
    <w:p w14:paraId="6CD4C439"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7" w:name="_Ref8217101"/>
      <w:r>
        <w:rPr>
          <w:rFonts w:ascii="Arial" w:eastAsia="Times New Roman" w:hAnsi="Arial" w:cs="Arial"/>
          <w:color w:val="212121"/>
          <w:sz w:val="20"/>
          <w:szCs w:val="20"/>
        </w:rPr>
        <w:t xml:space="preserve">This Section </w:t>
      </w:r>
      <w:r>
        <w:rPr>
          <w:rFonts w:ascii="Arial" w:eastAsia="Times New Roman" w:hAnsi="Arial" w:cs="Arial"/>
          <w:color w:val="212121"/>
          <w:sz w:val="20"/>
          <w:szCs w:val="20"/>
        </w:rPr>
        <w:t>deals with the terms under which NHS Data is made available to other systems, clinical users, care providers and/or patients.</w:t>
      </w:r>
      <w:bookmarkEnd w:id="7"/>
      <w:r>
        <w:rPr>
          <w:rFonts w:ascii="Arial" w:eastAsia="Times New Roman" w:hAnsi="Arial" w:cs="Arial"/>
          <w:color w:val="212121"/>
          <w:sz w:val="20"/>
          <w:szCs w:val="20"/>
        </w:rPr>
        <w:t xml:space="preserve"> </w:t>
      </w:r>
    </w:p>
    <w:p w14:paraId="3978BDB6"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not obtain profit or other commercial benefit from unreasonably delaying or excluding any potential Consumer Supp</w:t>
      </w:r>
      <w:r>
        <w:rPr>
          <w:rFonts w:ascii="Arial" w:eastAsia="Times New Roman" w:hAnsi="Arial" w:cs="Arial"/>
          <w:color w:val="212121"/>
          <w:sz w:val="20"/>
          <w:szCs w:val="20"/>
        </w:rPr>
        <w:t>lier's</w:t>
      </w:r>
      <w:r>
        <w:rPr>
          <w:rFonts w:ascii="Arial" w:hAnsi="Arial" w:cs="Arial"/>
          <w:sz w:val="20"/>
          <w:szCs w:val="20"/>
        </w:rPr>
        <w:t xml:space="preserve"> </w:t>
      </w:r>
      <w:r>
        <w:rPr>
          <w:rFonts w:ascii="Arial" w:eastAsia="Times New Roman" w:hAnsi="Arial" w:cs="Arial"/>
          <w:color w:val="212121"/>
          <w:sz w:val="20"/>
          <w:szCs w:val="20"/>
        </w:rPr>
        <w:t>access to NHS Data through available Interfaces, where a Consumer Supplier can demonstrate appropriate data controller/owner permissions, technical conformance and expected adherence to the terms of the relevant Interface Licence.</w:t>
      </w:r>
    </w:p>
    <w:p w14:paraId="6812C475"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8" w:name="_Ref8216241"/>
      <w:r>
        <w:rPr>
          <w:rFonts w:ascii="Arial" w:eastAsia="Times New Roman" w:hAnsi="Arial" w:cs="Arial"/>
          <w:color w:val="212121"/>
          <w:sz w:val="20"/>
          <w:szCs w:val="20"/>
        </w:rPr>
        <w:t>Where Service Reci</w:t>
      </w:r>
      <w:r>
        <w:rPr>
          <w:rFonts w:ascii="Arial" w:eastAsia="Times New Roman" w:hAnsi="Arial" w:cs="Arial"/>
          <w:color w:val="212121"/>
          <w:sz w:val="20"/>
          <w:szCs w:val="20"/>
        </w:rPr>
        <w:t>pients or Call Off Ordering Parties are required by NHS England or NHS Digital or the Department of Health and Social Care to establish certain data flows which are as listed in Annex 2 of this Commercial Standard including future updates (“</w:t>
      </w:r>
      <w:r>
        <w:rPr>
          <w:rFonts w:ascii="Arial" w:eastAsia="Times New Roman" w:hAnsi="Arial" w:cs="Arial"/>
          <w:b/>
          <w:color w:val="212121"/>
          <w:sz w:val="20"/>
          <w:szCs w:val="20"/>
        </w:rPr>
        <w:t>Mandated Inform</w:t>
      </w:r>
      <w:r>
        <w:rPr>
          <w:rFonts w:ascii="Arial" w:eastAsia="Times New Roman" w:hAnsi="Arial" w:cs="Arial"/>
          <w:b/>
          <w:color w:val="212121"/>
          <w:sz w:val="20"/>
          <w:szCs w:val="20"/>
        </w:rPr>
        <w:t>ation Flows</w:t>
      </w:r>
      <w:r>
        <w:rPr>
          <w:rFonts w:ascii="Arial" w:eastAsia="Times New Roman" w:hAnsi="Arial" w:cs="Arial"/>
          <w:color w:val="212121"/>
          <w:sz w:val="20"/>
          <w:szCs w:val="20"/>
        </w:rPr>
        <w:t xml:space="preserve">”), the Supplier shall ensure that it fulfils the Mandated Information Flows and related Interface Services on an on-going basis within the scope of the Periodic Service Charge for the Catalogue Solution. </w:t>
      </w:r>
      <w:r>
        <w:rPr>
          <w:rFonts w:ascii="Arial" w:hAnsi="Arial" w:cs="Arial"/>
          <w:iCs/>
          <w:sz w:val="20"/>
          <w:szCs w:val="20"/>
        </w:rPr>
        <w:t>The Mandated Information Flows will be c</w:t>
      </w:r>
      <w:r>
        <w:rPr>
          <w:rFonts w:ascii="Arial" w:hAnsi="Arial" w:cs="Arial"/>
          <w:iCs/>
          <w:sz w:val="20"/>
          <w:szCs w:val="20"/>
        </w:rPr>
        <w:t>onsidered and presented as items on the Standards Roadmap, being subject to the same terms and constraints as are applicable to changes to the Standards.</w:t>
      </w:r>
      <w:bookmarkEnd w:id="8"/>
    </w:p>
    <w:p w14:paraId="3307B870"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9" w:name="_Ref8747920"/>
      <w:r>
        <w:rPr>
          <w:rFonts w:ascii="Arial" w:eastAsia="Times New Roman" w:hAnsi="Arial" w:cs="Arial"/>
          <w:color w:val="212121"/>
          <w:sz w:val="20"/>
          <w:szCs w:val="20"/>
        </w:rPr>
        <w:t>Controllers and Data Subjects shall not be charged at any point for access to their data.</w:t>
      </w:r>
      <w:bookmarkEnd w:id="9"/>
    </w:p>
    <w:p w14:paraId="4A3B64CC"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0" w:name="_Ref8747921"/>
      <w:r>
        <w:rPr>
          <w:rFonts w:ascii="Arial" w:eastAsia="Times New Roman" w:hAnsi="Arial" w:cs="Arial"/>
          <w:color w:val="212121"/>
          <w:sz w:val="20"/>
          <w:szCs w:val="20"/>
        </w:rPr>
        <w:t>Further, Suppliers shall not charge for provision of Interface Services delivered in accordance with the Interoperability Standard which:</w:t>
      </w:r>
      <w:bookmarkEnd w:id="10"/>
    </w:p>
    <w:p w14:paraId="6396C438"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are required to access National Services; or</w:t>
      </w:r>
    </w:p>
    <w:p w14:paraId="29F27794"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perform Reciprocal Data Transactions, even where transaction volumes or d</w:t>
      </w:r>
      <w:r>
        <w:rPr>
          <w:rFonts w:ascii="Arial" w:eastAsia="Times New Roman" w:hAnsi="Arial" w:cs="Arial"/>
          <w:color w:val="212121"/>
          <w:sz w:val="20"/>
          <w:szCs w:val="20"/>
        </w:rPr>
        <w:t>ata flows are asymmetrical.</w:t>
      </w:r>
    </w:p>
    <w:p w14:paraId="55E23D6F"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1" w:name="_Ref799468"/>
      <w:r>
        <w:rPr>
          <w:rFonts w:ascii="Arial" w:eastAsia="Times New Roman" w:hAnsi="Arial" w:cs="Arial"/>
          <w:color w:val="212121"/>
          <w:sz w:val="20"/>
          <w:szCs w:val="20"/>
        </w:rPr>
        <w:t xml:space="preserve">Subject to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_Ref8747920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19</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and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_Ref8747921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Suppliers may seek</w:t>
      </w:r>
      <w:r>
        <w:rPr>
          <w:rFonts w:ascii="Arial" w:eastAsia="Times New Roman" w:hAnsi="Arial" w:cs="Arial"/>
          <w:color w:val="212121"/>
          <w:sz w:val="20"/>
          <w:szCs w:val="20"/>
        </w:rPr>
        <w:t xml:space="preserve"> financial payment for the operation of Interface Services in respect of NHS Data separate to the Periodic Service Charge where:</w:t>
      </w:r>
    </w:p>
    <w:p w14:paraId="635BAEE7"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Interface Services are offered as a component of services which generate or involve a material alteration, enhancement or r</w:t>
      </w:r>
      <w:r>
        <w:rPr>
          <w:rFonts w:ascii="Arial" w:eastAsia="Times New Roman" w:hAnsi="Arial" w:cs="Arial"/>
          <w:color w:val="212121"/>
          <w:sz w:val="20"/>
          <w:szCs w:val="20"/>
        </w:rPr>
        <w:t>epresentation of the NHS Data</w:t>
      </w:r>
      <w:r>
        <w:rPr>
          <w:rStyle w:val="FootnoteReference"/>
          <w:rFonts w:ascii="Arial" w:eastAsia="Times New Roman" w:hAnsi="Arial" w:cs="Arial"/>
          <w:color w:val="212121"/>
          <w:sz w:val="20"/>
          <w:szCs w:val="20"/>
        </w:rPr>
        <w:footnoteReference w:id="2"/>
      </w:r>
      <w:r>
        <w:rPr>
          <w:rFonts w:ascii="Arial" w:eastAsia="Times New Roman" w:hAnsi="Arial" w:cs="Arial"/>
          <w:color w:val="212121"/>
          <w:sz w:val="20"/>
          <w:szCs w:val="20"/>
        </w:rPr>
        <w:t>, or</w:t>
      </w:r>
    </w:p>
    <w:p w14:paraId="4F51BD1E" w14:textId="77777777" w:rsidR="00B06F19" w:rsidRDefault="009A2766">
      <w:pPr>
        <w:pStyle w:val="ListParagraph"/>
        <w:numPr>
          <w:ilvl w:val="1"/>
          <w:numId w:val="24"/>
        </w:numPr>
        <w:jc w:val="both"/>
        <w:rPr>
          <w:rFonts w:ascii="Arial" w:eastAsia="Times New Roman" w:hAnsi="Arial" w:cs="Arial"/>
          <w:color w:val="212121"/>
          <w:sz w:val="20"/>
          <w:szCs w:val="20"/>
        </w:rPr>
      </w:pPr>
      <w:bookmarkStart w:id="12" w:name="_Ref8661219"/>
      <w:r>
        <w:rPr>
          <w:rFonts w:ascii="Arial" w:eastAsia="Times New Roman" w:hAnsi="Arial" w:cs="Arial"/>
          <w:color w:val="212121"/>
          <w:sz w:val="20"/>
          <w:szCs w:val="20"/>
        </w:rPr>
        <w:t>they are operating an enterprise quality, managed API service to a commercial third party provided that charging shall be limited to recovery of reasonable service charges only</w:t>
      </w:r>
      <w:r>
        <w:rPr>
          <w:rStyle w:val="FootnoteReference"/>
          <w:rFonts w:ascii="Arial" w:eastAsia="Times New Roman" w:hAnsi="Arial" w:cs="Arial"/>
          <w:color w:val="212121"/>
          <w:sz w:val="20"/>
          <w:szCs w:val="20"/>
        </w:rPr>
        <w:footnoteReference w:id="3"/>
      </w:r>
      <w:r>
        <w:rPr>
          <w:rFonts w:ascii="Arial" w:eastAsia="Times New Roman" w:hAnsi="Arial" w:cs="Arial"/>
          <w:color w:val="212121"/>
          <w:sz w:val="20"/>
          <w:szCs w:val="20"/>
        </w:rPr>
        <w:t>.</w:t>
      </w:r>
      <w:bookmarkEnd w:id="12"/>
      <w:r>
        <w:rPr>
          <w:rFonts w:ascii="Arial" w:eastAsia="Times New Roman" w:hAnsi="Arial" w:cs="Arial"/>
          <w:color w:val="212121"/>
          <w:sz w:val="20"/>
          <w:szCs w:val="20"/>
        </w:rPr>
        <w:t xml:space="preserve"> </w:t>
      </w:r>
    </w:p>
    <w:bookmarkEnd w:id="11"/>
    <w:p w14:paraId="0DD102A4"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Supplier shall not acquire ownership </w:t>
      </w:r>
      <w:r>
        <w:rPr>
          <w:rFonts w:ascii="Arial" w:eastAsia="Times New Roman" w:hAnsi="Arial" w:cs="Arial"/>
          <w:color w:val="212121"/>
          <w:sz w:val="20"/>
          <w:szCs w:val="20"/>
        </w:rPr>
        <w:t xml:space="preserve">of any rights in the NHS Data (including where material Supplier enhancements have created derived information or data which contains any Personal Data) and the Supplier shall comply with the requirements of the provisions of the Data Processing Deed.  </w:t>
      </w:r>
    </w:p>
    <w:p w14:paraId="265EFFC8" w14:textId="77777777" w:rsidR="00B06F19" w:rsidRDefault="009A2766">
      <w:pPr>
        <w:keepNext/>
        <w:spacing w:after="240"/>
        <w:rPr>
          <w:rFonts w:ascii="Arial" w:eastAsia="Times New Roman" w:hAnsi="Arial" w:cs="Arial"/>
          <w:b/>
          <w:color w:val="212121"/>
          <w:sz w:val="20"/>
          <w:szCs w:val="20"/>
        </w:rPr>
      </w:pPr>
      <w:r>
        <w:rPr>
          <w:rFonts w:ascii="Arial" w:eastAsia="Times New Roman" w:hAnsi="Arial" w:cs="Arial"/>
          <w:b/>
          <w:color w:val="212121"/>
          <w:sz w:val="20"/>
          <w:szCs w:val="20"/>
        </w:rPr>
        <w:lastRenderedPageBreak/>
        <w:t>Us</w:t>
      </w:r>
      <w:r>
        <w:rPr>
          <w:rFonts w:ascii="Arial" w:eastAsia="Times New Roman" w:hAnsi="Arial" w:cs="Arial"/>
          <w:b/>
          <w:color w:val="212121"/>
          <w:sz w:val="20"/>
          <w:szCs w:val="20"/>
        </w:rPr>
        <w:t>e of Benchmark Data</w:t>
      </w:r>
    </w:p>
    <w:p w14:paraId="258769F5"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3" w:name="_Ref8217736"/>
      <w:r>
        <w:rPr>
          <w:rFonts w:ascii="Arial" w:eastAsia="Times New Roman" w:hAnsi="Arial" w:cs="Arial"/>
          <w:color w:val="212121"/>
          <w:sz w:val="20"/>
          <w:szCs w:val="20"/>
        </w:rPr>
        <w:t xml:space="preserve">Annex 1 of this Commercial Standard sets out principles and data to be applied as benchmarks for how Suppliers may charge for Interface Services to recover reasonable levels of recovery for provision of Interface Services, as indicated </w:t>
      </w:r>
      <w:r>
        <w:rPr>
          <w:rFonts w:ascii="Arial" w:eastAsia="Times New Roman" w:hAnsi="Arial" w:cs="Arial"/>
          <w:color w:val="212121"/>
          <w:sz w:val="20"/>
          <w:szCs w:val="20"/>
        </w:rPr>
        <w:t xml:space="preserve">in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_Ref8661219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21.2</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w:t>
      </w:r>
      <w:r>
        <w:rPr>
          <w:rFonts w:ascii="Arial" w:eastAsia="Times New Roman" w:hAnsi="Arial" w:cs="Arial"/>
          <w:b/>
          <w:color w:val="212121"/>
          <w:sz w:val="20"/>
          <w:szCs w:val="20"/>
        </w:rPr>
        <w:t>Benchmark Data</w:t>
      </w:r>
      <w:r>
        <w:rPr>
          <w:rFonts w:ascii="Arial" w:eastAsia="Times New Roman" w:hAnsi="Arial" w:cs="Arial"/>
          <w:color w:val="212121"/>
          <w:sz w:val="20"/>
          <w:szCs w:val="20"/>
        </w:rPr>
        <w:t>").   The Benchmark Data shall be updated annually.</w:t>
      </w:r>
      <w:bookmarkEnd w:id="13"/>
      <w:r>
        <w:rPr>
          <w:rFonts w:ascii="Arial" w:eastAsia="Times New Roman" w:hAnsi="Arial" w:cs="Arial"/>
          <w:color w:val="212121"/>
          <w:sz w:val="20"/>
          <w:szCs w:val="20"/>
        </w:rPr>
        <w:t xml:space="preserve"> </w:t>
      </w:r>
    </w:p>
    <w:p w14:paraId="56F8AEB9"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Other detail on recovery of reasonable charges are set out in the Model Interface Licence. </w:t>
      </w:r>
    </w:p>
    <w:p w14:paraId="1D53DD6E" w14:textId="77777777" w:rsidR="00B06F19" w:rsidRDefault="009A2766">
      <w:pPr>
        <w:spacing w:after="240"/>
        <w:rPr>
          <w:rFonts w:ascii="Arial" w:eastAsia="Times New Roman" w:hAnsi="Arial" w:cs="Arial"/>
          <w:b/>
          <w:color w:val="212121"/>
          <w:sz w:val="20"/>
          <w:szCs w:val="20"/>
        </w:rPr>
      </w:pPr>
      <w:r>
        <w:rPr>
          <w:rFonts w:ascii="Arial" w:eastAsia="Times New Roman" w:hAnsi="Arial" w:cs="Arial"/>
          <w:b/>
          <w:color w:val="212121"/>
          <w:sz w:val="20"/>
          <w:szCs w:val="20"/>
        </w:rPr>
        <w:t>Interface Payments from Framework Authorities</w:t>
      </w:r>
    </w:p>
    <w:p w14:paraId="35627FDB"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Framework Authorities may choose to pay or reimburse the Connection and/or support charges relating to Interface Servi</w:t>
      </w:r>
      <w:r>
        <w:rPr>
          <w:rFonts w:ascii="Arial" w:eastAsia="Times New Roman" w:hAnsi="Arial" w:cs="Arial"/>
          <w:color w:val="212121"/>
          <w:sz w:val="20"/>
          <w:szCs w:val="20"/>
        </w:rPr>
        <w:t xml:space="preserve">ces, in which case the relevant Framework Authority will publish the qualifying criteria, the identity of any entities being supported in this manner and the process for payment of such charges. </w:t>
      </w:r>
    </w:p>
    <w:p w14:paraId="1ECFC58F" w14:textId="77777777" w:rsidR="00B06F19" w:rsidRDefault="009A2766">
      <w:pPr>
        <w:spacing w:after="240"/>
        <w:rPr>
          <w:rFonts w:ascii="Arial" w:eastAsia="Times New Roman" w:hAnsi="Arial" w:cs="Arial"/>
          <w:b/>
          <w:color w:val="212121"/>
          <w:sz w:val="20"/>
          <w:szCs w:val="20"/>
        </w:rPr>
      </w:pPr>
      <w:r>
        <w:rPr>
          <w:rFonts w:ascii="Arial" w:eastAsia="Times New Roman" w:hAnsi="Arial" w:cs="Arial"/>
          <w:b/>
          <w:color w:val="212121"/>
          <w:sz w:val="20"/>
          <w:szCs w:val="20"/>
        </w:rPr>
        <w:t>Conditions Applied to Proprietary Interfaces</w:t>
      </w:r>
    </w:p>
    <w:p w14:paraId="23DABFFD"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4" w:name="_Ref8216220"/>
      <w:r>
        <w:rPr>
          <w:rFonts w:ascii="Arial" w:eastAsia="Times New Roman" w:hAnsi="Arial" w:cs="Arial"/>
          <w:color w:val="212121"/>
          <w:sz w:val="20"/>
          <w:szCs w:val="20"/>
        </w:rPr>
        <w:t>Suppliers shall</w:t>
      </w:r>
      <w:r>
        <w:rPr>
          <w:rFonts w:ascii="Arial" w:eastAsia="Times New Roman" w:hAnsi="Arial" w:cs="Arial"/>
          <w:color w:val="212121"/>
          <w:sz w:val="20"/>
          <w:szCs w:val="20"/>
        </w:rPr>
        <w:t xml:space="preserve"> take all reasonable steps to ensure, demonstrate and declare as ongoing practice the general alignment of all externally exposed Interfaces</w:t>
      </w:r>
      <w:r>
        <w:rPr>
          <w:rStyle w:val="FootnoteReference"/>
          <w:rFonts w:ascii="Arial" w:eastAsia="Times New Roman" w:hAnsi="Arial" w:cs="Arial"/>
          <w:color w:val="212121"/>
          <w:sz w:val="20"/>
          <w:szCs w:val="20"/>
        </w:rPr>
        <w:footnoteReference w:id="4"/>
      </w:r>
      <w:r>
        <w:rPr>
          <w:rFonts w:ascii="Arial" w:eastAsia="Times New Roman" w:hAnsi="Arial" w:cs="Arial"/>
          <w:color w:val="212121"/>
          <w:sz w:val="20"/>
          <w:szCs w:val="20"/>
        </w:rPr>
        <w:t xml:space="preserve"> to the NHS England Open API Policy, with specific regard to exposure of libraries of available Interfaces, technic</w:t>
      </w:r>
      <w:r>
        <w:rPr>
          <w:rFonts w:ascii="Arial" w:eastAsia="Times New Roman" w:hAnsi="Arial" w:cs="Arial"/>
          <w:color w:val="212121"/>
          <w:sz w:val="20"/>
          <w:szCs w:val="20"/>
        </w:rPr>
        <w:t>al documentation availability, commercial treatment of Interfaces accessing NHS Data, and Section C of this Commercial Standard ("</w:t>
      </w:r>
      <w:r>
        <w:rPr>
          <w:rFonts w:ascii="Arial" w:eastAsia="Times New Roman" w:hAnsi="Arial" w:cs="Arial"/>
          <w:b/>
          <w:color w:val="212121"/>
          <w:sz w:val="20"/>
          <w:szCs w:val="20"/>
        </w:rPr>
        <w:t>Open API Alignment</w:t>
      </w:r>
      <w:r>
        <w:rPr>
          <w:rFonts w:ascii="Arial" w:eastAsia="Times New Roman" w:hAnsi="Arial" w:cs="Arial"/>
          <w:color w:val="212121"/>
          <w:sz w:val="20"/>
          <w:szCs w:val="20"/>
        </w:rPr>
        <w:t>").</w:t>
      </w:r>
      <w:bookmarkEnd w:id="14"/>
      <w:r>
        <w:rPr>
          <w:rFonts w:ascii="Arial" w:eastAsia="Times New Roman" w:hAnsi="Arial" w:cs="Arial"/>
          <w:color w:val="212121"/>
          <w:sz w:val="20"/>
          <w:szCs w:val="20"/>
        </w:rPr>
        <w:t xml:space="preserve"> </w:t>
      </w:r>
    </w:p>
    <w:p w14:paraId="1A0419DD"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Each Supplier shall make a declaration of compliance with the Open API Alignment requirements upon requ</w:t>
      </w:r>
      <w:r>
        <w:rPr>
          <w:rFonts w:ascii="Arial" w:eastAsia="Times New Roman" w:hAnsi="Arial" w:cs="Arial"/>
          <w:color w:val="212121"/>
          <w:sz w:val="20"/>
          <w:szCs w:val="20"/>
        </w:rPr>
        <w:t>est by the Catalogue Authority during assurance of Catalogue Solutions and/or of compliance with this Commercial Standard.  All declarations of compliance with the Open API Alignment requirements must be supported with evidence of compliance.  The Onboardi</w:t>
      </w:r>
      <w:r>
        <w:rPr>
          <w:rFonts w:ascii="Arial" w:eastAsia="Times New Roman" w:hAnsi="Arial" w:cs="Arial"/>
          <w:color w:val="212121"/>
          <w:sz w:val="20"/>
          <w:szCs w:val="20"/>
        </w:rPr>
        <w:t xml:space="preserve">ng Process will define a number of tests which are to be applied by the Supplier to support its declaration of compliance with the Open API Alignment requirements.  </w:t>
      </w:r>
    </w:p>
    <w:p w14:paraId="2A60FBAB"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To the extent that a Supplier is unable to make or to fulfil a declaration of compliance w</w:t>
      </w:r>
      <w:r>
        <w:rPr>
          <w:rFonts w:ascii="Arial" w:eastAsia="Times New Roman" w:hAnsi="Arial" w:cs="Arial"/>
          <w:color w:val="212121"/>
          <w:sz w:val="20"/>
          <w:szCs w:val="20"/>
        </w:rPr>
        <w:t>ith the Open API Alignment requirements or if the facts underpinning a declaration later become or are found to have been untrue or different, then the Supplier shall agree a remedial plan with the Catalogue Authority covering recommended and required acti</w:t>
      </w:r>
      <w:r>
        <w:rPr>
          <w:rFonts w:ascii="Arial" w:eastAsia="Times New Roman" w:hAnsi="Arial" w:cs="Arial"/>
          <w:color w:val="212121"/>
          <w:sz w:val="20"/>
          <w:szCs w:val="20"/>
        </w:rPr>
        <w:t xml:space="preserve">vities and associated dates. </w:t>
      </w:r>
    </w:p>
    <w:p w14:paraId="65A3946E"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scope of this requirement for compliance with the Open API Alignment includes Interfaces not directly paid for or commissioned under contracts predating this Commercial Standard, where such Interfaces access NHS Data, such</w:t>
      </w:r>
      <w:r>
        <w:rPr>
          <w:rFonts w:ascii="Arial" w:eastAsia="Times New Roman" w:hAnsi="Arial" w:cs="Arial"/>
          <w:color w:val="212121"/>
          <w:sz w:val="20"/>
          <w:szCs w:val="20"/>
        </w:rPr>
        <w:t xml:space="preserve"> as those made available through established commercial partner programmes which encompass Interfaces between a partner solution and a Supplier's Catalogue Solution.</w:t>
      </w:r>
    </w:p>
    <w:p w14:paraId="4F821A79"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The Catalogue Authority shall have the right, acting reasonably and with the consent of re</w:t>
      </w:r>
      <w:r>
        <w:rPr>
          <w:rFonts w:ascii="Arial" w:eastAsia="Times New Roman" w:hAnsi="Arial" w:cs="Arial"/>
          <w:color w:val="212121"/>
          <w:sz w:val="20"/>
          <w:szCs w:val="20"/>
        </w:rPr>
        <w:t xml:space="preserve">levant programme partners, to request certain information from Suppliers and/or the relevant programme partner(s), describing the commercial arrangements between the parties to the extent that they include provision of Interface Services.  Suppliers shall </w:t>
      </w:r>
      <w:r>
        <w:rPr>
          <w:rFonts w:ascii="Arial" w:eastAsia="Times New Roman" w:hAnsi="Arial" w:cs="Arial"/>
          <w:color w:val="212121"/>
          <w:sz w:val="20"/>
          <w:szCs w:val="20"/>
        </w:rPr>
        <w:t>respond promptly and accurately to all such requests.</w:t>
      </w:r>
    </w:p>
    <w:p w14:paraId="4D3E7DFB" w14:textId="77777777" w:rsidR="00B06F19" w:rsidRDefault="009A2766">
      <w:pPr>
        <w:spacing w:after="240"/>
        <w:rPr>
          <w:rFonts w:ascii="Arial" w:eastAsia="Times New Roman" w:hAnsi="Arial" w:cs="Arial"/>
          <w:b/>
          <w:color w:val="212121"/>
          <w:sz w:val="20"/>
          <w:szCs w:val="20"/>
        </w:rPr>
      </w:pPr>
      <w:r>
        <w:rPr>
          <w:rFonts w:ascii="Arial" w:eastAsia="Times New Roman" w:hAnsi="Arial" w:cs="Arial"/>
          <w:b/>
          <w:color w:val="212121"/>
          <w:sz w:val="20"/>
          <w:szCs w:val="20"/>
        </w:rPr>
        <w:t xml:space="preserve">Use of Model Interface Licence </w:t>
      </w:r>
    </w:p>
    <w:p w14:paraId="7173E0D8"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(Annex 4 of this document) contains terms under which Interface services involving NHS Data shall be offered to the market:</w:t>
      </w:r>
    </w:p>
    <w:p w14:paraId="0585B66F"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where the </w:t>
      </w:r>
      <w:r>
        <w:rPr>
          <w:rFonts w:ascii="Arial" w:eastAsia="Times New Roman" w:hAnsi="Arial" w:cs="Arial"/>
          <w:color w:val="212121"/>
          <w:sz w:val="20"/>
          <w:szCs w:val="20"/>
        </w:rPr>
        <w:t>Connection is made through any direct Interface pairing between parties excluding the Catalogue Authority; and</w:t>
      </w:r>
    </w:p>
    <w:p w14:paraId="75B46C74"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Interface is as specified within the Interoperability Standard.</w:t>
      </w:r>
    </w:p>
    <w:p w14:paraId="25B19DD2" w14:textId="77777777" w:rsidR="00B06F19" w:rsidRDefault="009A2766">
      <w:pPr>
        <w:pStyle w:val="ListParagraph"/>
        <w:keepNext/>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shall control the rights and responsibiliti</w:t>
      </w:r>
      <w:r>
        <w:rPr>
          <w:rFonts w:ascii="Arial" w:eastAsia="Times New Roman" w:hAnsi="Arial" w:cs="Arial"/>
          <w:color w:val="212121"/>
          <w:sz w:val="20"/>
          <w:szCs w:val="20"/>
        </w:rPr>
        <w:t>es of each party in respect of:</w:t>
      </w:r>
    </w:p>
    <w:p w14:paraId="2A00488C"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granting of a Connection;</w:t>
      </w:r>
    </w:p>
    <w:p w14:paraId="67EBF2BB"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service availability and performance of the Interface; and</w:t>
      </w:r>
    </w:p>
    <w:p w14:paraId="61CBE1E6"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acceptable use of the Interface.  </w:t>
      </w:r>
    </w:p>
    <w:p w14:paraId="65A618F5"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Any breach of the Model Interface Licence by a Supplier, which in the reasonable opinion of the Catalogu</w:t>
      </w:r>
      <w:r>
        <w:rPr>
          <w:rFonts w:ascii="Arial" w:eastAsia="Times New Roman" w:hAnsi="Arial" w:cs="Arial"/>
          <w:color w:val="212121"/>
          <w:sz w:val="20"/>
          <w:szCs w:val="20"/>
        </w:rPr>
        <w:t>e Authority is either a repeated breach or a single material breach shall be deemed to be a breach of this Commercial Standard.</w:t>
      </w:r>
    </w:p>
    <w:p w14:paraId="30185821"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5" w:name="_Ref8216249"/>
      <w:r>
        <w:rPr>
          <w:rFonts w:ascii="Arial" w:eastAsia="Times New Roman" w:hAnsi="Arial" w:cs="Arial"/>
          <w:color w:val="212121"/>
          <w:sz w:val="20"/>
          <w:szCs w:val="20"/>
        </w:rPr>
        <w:t xml:space="preserve">Interface Services can also be provided through a centrally managed hub model (such as GP Connect) so that Connections are made </w:t>
      </w:r>
      <w:r>
        <w:rPr>
          <w:rFonts w:ascii="Arial" w:eastAsia="Times New Roman" w:hAnsi="Arial" w:cs="Arial"/>
          <w:color w:val="212121"/>
          <w:sz w:val="20"/>
          <w:szCs w:val="20"/>
        </w:rPr>
        <w:t>between the Catalogue Authority and a Supplier, in which case the provision of such Interfaces shall be governed by discrete terms of use.</w:t>
      </w:r>
      <w:bookmarkEnd w:id="15"/>
      <w:r>
        <w:rPr>
          <w:rFonts w:ascii="Arial" w:eastAsia="Times New Roman" w:hAnsi="Arial" w:cs="Arial"/>
          <w:color w:val="212121"/>
          <w:sz w:val="20"/>
          <w:szCs w:val="20"/>
        </w:rPr>
        <w:t xml:space="preserve">   </w:t>
      </w:r>
    </w:p>
    <w:p w14:paraId="30F9BDC2" w14:textId="77777777" w:rsidR="00B06F19" w:rsidRDefault="009A2766">
      <w:pPr>
        <w:jc w:val="both"/>
        <w:rPr>
          <w:rFonts w:ascii="Arial" w:eastAsia="Times New Roman" w:hAnsi="Arial" w:cs="Arial"/>
          <w:b/>
          <w:color w:val="212121"/>
          <w:sz w:val="20"/>
          <w:szCs w:val="20"/>
        </w:rPr>
      </w:pPr>
      <w:r>
        <w:rPr>
          <w:rFonts w:ascii="Arial" w:eastAsia="Times New Roman" w:hAnsi="Arial" w:cs="Arial"/>
          <w:b/>
          <w:color w:val="212121"/>
          <w:sz w:val="20"/>
          <w:szCs w:val="20"/>
        </w:rPr>
        <w:t>Section D</w:t>
      </w:r>
    </w:p>
    <w:p w14:paraId="77F19829"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Market Responsibility</w:t>
      </w:r>
    </w:p>
    <w:p w14:paraId="0A675130"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Purpose of Provisions</w:t>
      </w:r>
    </w:p>
    <w:p w14:paraId="38A24E51"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In recognition of the potential to harm operations undertaken for the public good that exist within the context of supply of digital services into the NHS, Suppliers agree that they shall be subject to additional service and relationship management interac</w:t>
      </w:r>
      <w:r>
        <w:rPr>
          <w:rFonts w:ascii="Arial" w:eastAsia="Times New Roman" w:hAnsi="Arial" w:cs="Arial"/>
          <w:color w:val="212121"/>
          <w:sz w:val="20"/>
          <w:szCs w:val="20"/>
        </w:rPr>
        <w:t xml:space="preserve">tions in the event that they are classified as exerting significant influence on the technical and commercial environment, such that their actions may be generally market affecting (or otherwise affect public wellbeing).  </w:t>
      </w:r>
    </w:p>
    <w:p w14:paraId="45A355E3"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6" w:name="_Ref8221806"/>
      <w:r>
        <w:rPr>
          <w:rFonts w:ascii="Arial" w:eastAsia="Times New Roman" w:hAnsi="Arial" w:cs="Arial"/>
          <w:color w:val="212121"/>
          <w:sz w:val="20"/>
          <w:szCs w:val="20"/>
        </w:rPr>
        <w:t>The purpose of the additional mea</w:t>
      </w:r>
      <w:r>
        <w:rPr>
          <w:rFonts w:ascii="Arial" w:eastAsia="Times New Roman" w:hAnsi="Arial" w:cs="Arial"/>
          <w:color w:val="212121"/>
          <w:sz w:val="20"/>
          <w:szCs w:val="20"/>
        </w:rPr>
        <w:t>sures will be to protect the NHS in respect of supply resilience and sustainability, value for money and provision of service quality, market fairness and unconstrained customer choice (together they form the "</w:t>
      </w:r>
      <w:r>
        <w:rPr>
          <w:rFonts w:ascii="Arial" w:eastAsia="Times New Roman" w:hAnsi="Arial" w:cs="Arial"/>
          <w:b/>
          <w:color w:val="212121"/>
          <w:sz w:val="20"/>
          <w:szCs w:val="20"/>
        </w:rPr>
        <w:t>Market Responsibility Provisions</w:t>
      </w:r>
      <w:r>
        <w:rPr>
          <w:rFonts w:ascii="Arial" w:eastAsia="Times New Roman" w:hAnsi="Arial" w:cs="Arial"/>
          <w:color w:val="212121"/>
          <w:sz w:val="20"/>
          <w:szCs w:val="20"/>
        </w:rPr>
        <w:t>").</w:t>
      </w:r>
      <w:bookmarkEnd w:id="16"/>
    </w:p>
    <w:p w14:paraId="2622C4DA"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Qualifying</w:t>
      </w:r>
      <w:r>
        <w:rPr>
          <w:rFonts w:ascii="Arial" w:eastAsia="Times New Roman" w:hAnsi="Arial" w:cs="Arial"/>
          <w:b/>
          <w:color w:val="212121"/>
          <w:sz w:val="20"/>
          <w:szCs w:val="20"/>
        </w:rPr>
        <w:t xml:space="preserve"> Suppliers</w:t>
      </w:r>
    </w:p>
    <w:p w14:paraId="1EE69B71"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7" w:name="_Ref535317401"/>
      <w:r>
        <w:rPr>
          <w:rFonts w:ascii="Arial" w:eastAsia="Times New Roman" w:hAnsi="Arial" w:cs="Arial"/>
          <w:color w:val="212121"/>
          <w:sz w:val="20"/>
          <w:szCs w:val="20"/>
        </w:rPr>
        <w:t>The Market Responsibility Provisions shall apply where a Supplier is deemed to exert significant influence on the technical and commercial environment by virtue of:</w:t>
      </w:r>
      <w:bookmarkEnd w:id="17"/>
      <w:r>
        <w:rPr>
          <w:rFonts w:ascii="Arial" w:eastAsia="Times New Roman" w:hAnsi="Arial" w:cs="Arial"/>
          <w:color w:val="212121"/>
          <w:sz w:val="20"/>
          <w:szCs w:val="20"/>
        </w:rPr>
        <w:t xml:space="preserve"> </w:t>
      </w:r>
    </w:p>
    <w:p w14:paraId="0FE5F307"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having a significant market share in a defined user market (in the reasonable o</w:t>
      </w:r>
      <w:r>
        <w:rPr>
          <w:rFonts w:ascii="Arial" w:eastAsia="Times New Roman" w:hAnsi="Arial" w:cs="Arial"/>
          <w:color w:val="212121"/>
          <w:sz w:val="20"/>
          <w:szCs w:val="20"/>
        </w:rPr>
        <w:t>pinion of the Catalogue Authority); and/or</w:t>
      </w:r>
    </w:p>
    <w:p w14:paraId="03A91722"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receiving over £10m per annum in charges derived from central funding allocations (this may include departmental or NHS England capital investment, recurrent funds such as the GMS fund allocated for digital servic</w:t>
      </w:r>
      <w:r>
        <w:rPr>
          <w:rFonts w:ascii="Arial" w:eastAsia="Times New Roman" w:hAnsi="Arial" w:cs="Arial"/>
          <w:color w:val="212121"/>
          <w:sz w:val="20"/>
          <w:szCs w:val="20"/>
        </w:rPr>
        <w:t>es in primary care, or centrally paid charges where they are incorporated within a Framework or procurement vehicle associated with the Catalogue).</w:t>
      </w:r>
    </w:p>
    <w:p w14:paraId="08E920B0"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If the Catalogue Authority determines that a Supplier is subject to the Market Responsibility Provisions in </w:t>
      </w:r>
      <w:r>
        <w:rPr>
          <w:rFonts w:ascii="Arial" w:eastAsia="Times New Roman" w:hAnsi="Arial" w:cs="Arial"/>
          <w:color w:val="212121"/>
          <w:sz w:val="20"/>
          <w:szCs w:val="20"/>
        </w:rPr>
        <w:t>respect of any given Catalogue Solution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_Ref535317401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37</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then the Catalogue Authority shall inform a Supplier in writing. </w:t>
      </w:r>
    </w:p>
    <w:p w14:paraId="7297AF4A"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w:t>
      </w:r>
      <w:r>
        <w:rPr>
          <w:rFonts w:ascii="Arial" w:eastAsia="Times New Roman" w:hAnsi="Arial" w:cs="Arial"/>
          <w:color w:val="212121"/>
          <w:sz w:val="20"/>
          <w:szCs w:val="20"/>
        </w:rPr>
        <w:t>s shall have the right to challenge this decision in accordance with the processes described within the Schedule 6 </w:t>
      </w:r>
      <w:r>
        <w:rPr>
          <w:rFonts w:ascii="Arial" w:eastAsia="Times New Roman" w:hAnsi="Arial" w:cs="Arial"/>
          <w:i/>
          <w:color w:val="212121"/>
          <w:sz w:val="20"/>
          <w:szCs w:val="20"/>
        </w:rPr>
        <w:t>(Dispute Resolution)</w:t>
      </w:r>
      <w:r>
        <w:rPr>
          <w:rFonts w:ascii="Arial" w:eastAsia="Times New Roman" w:hAnsi="Arial" w:cs="Arial"/>
          <w:color w:val="212121"/>
          <w:sz w:val="20"/>
          <w:szCs w:val="20"/>
        </w:rPr>
        <w:t xml:space="preserve"> of the Catalogue Agreement, specifically the provisions describing commercial negotiation and mediation, with deemed acc</w:t>
      </w:r>
      <w:r>
        <w:rPr>
          <w:rFonts w:ascii="Arial" w:eastAsia="Times New Roman" w:hAnsi="Arial" w:cs="Arial"/>
          <w:color w:val="212121"/>
          <w:sz w:val="20"/>
          <w:szCs w:val="20"/>
        </w:rPr>
        <w:t>eptance from the relevant Supplier after 10 Business Days from receipt of the relevant notification from the Catalogue Authority.</w:t>
      </w:r>
    </w:p>
    <w:p w14:paraId="402CA24B"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Obligations Applied to Qualifying Suppliers</w:t>
      </w:r>
    </w:p>
    <w:p w14:paraId="0B5AED31"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Market Responsibility Provisions apply in respect of a Catalogue Solutio</w:t>
      </w:r>
      <w:r>
        <w:rPr>
          <w:rFonts w:ascii="Arial" w:eastAsia="Times New Roman" w:hAnsi="Arial" w:cs="Arial"/>
          <w:color w:val="212121"/>
          <w:sz w:val="20"/>
          <w:szCs w:val="20"/>
        </w:rPr>
        <w:t xml:space="preserve">n, then the Supplier shall be subject to a range of enhanced management obligations which are outlined within the Catalogue Agreement, and may be further stipulated in Framework Agreements.  The consequences of these provisions in respect of the Catalogue </w:t>
      </w:r>
      <w:r>
        <w:rPr>
          <w:rFonts w:ascii="Arial" w:eastAsia="Times New Roman" w:hAnsi="Arial" w:cs="Arial"/>
          <w:color w:val="212121"/>
          <w:sz w:val="20"/>
          <w:szCs w:val="20"/>
        </w:rPr>
        <w:t>Agreement may be amended from time to time, in accordance with the relevant variation procedure but shall include as a minimum:</w:t>
      </w:r>
    </w:p>
    <w:p w14:paraId="3A4A3164"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exit provisions and obligations (as described in the Catalogue Agreement); and</w:t>
      </w:r>
    </w:p>
    <w:p w14:paraId="4B5592D5"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governance (eg: frequency of me</w:t>
      </w:r>
      <w:r>
        <w:rPr>
          <w:rFonts w:ascii="Arial" w:eastAsia="Times New Roman" w:hAnsi="Arial" w:cs="Arial"/>
          <w:color w:val="212121"/>
          <w:sz w:val="20"/>
          <w:szCs w:val="20"/>
        </w:rPr>
        <w:t>etings, extent of information exchange).</w:t>
      </w:r>
    </w:p>
    <w:p w14:paraId="2CEED67D"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Market Responsibility Provisions shall be considered to have been breached (which shall constitute a breach of this Commercial Standard), if the Catalogue Authority considers, and can reasonably evidence, any of</w:t>
      </w:r>
      <w:r>
        <w:rPr>
          <w:rFonts w:ascii="Arial" w:eastAsia="Times New Roman" w:hAnsi="Arial" w:cs="Arial"/>
          <w:color w:val="212121"/>
          <w:sz w:val="20"/>
          <w:szCs w:val="20"/>
        </w:rPr>
        <w:t xml:space="preserve"> the following anti-competitive behaviours:</w:t>
      </w:r>
    </w:p>
    <w:p w14:paraId="61A73C78"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Predatory Market Pricing: this is the setting of uneconomic short term pricing strategies, which are designed to leverage market scale in order to absorb short term losses, where the objective or </w:t>
      </w:r>
      <w:r>
        <w:rPr>
          <w:rFonts w:ascii="Arial" w:eastAsia="Times New Roman" w:hAnsi="Arial" w:cs="Arial"/>
          <w:color w:val="212121"/>
          <w:sz w:val="20"/>
          <w:szCs w:val="20"/>
        </w:rPr>
        <w:t>consequence of such a strategy is to remove the ability of the competitor market to operate without loss, such that the Supplier either consolidates total market share dominance or blocks competitor services from entering successfully into the market;</w:t>
      </w:r>
    </w:p>
    <w:p w14:paraId="67C7B73C"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Targ</w:t>
      </w:r>
      <w:r>
        <w:rPr>
          <w:rFonts w:ascii="Arial" w:eastAsia="Times New Roman" w:hAnsi="Arial" w:cs="Arial"/>
          <w:color w:val="212121"/>
          <w:sz w:val="20"/>
          <w:szCs w:val="20"/>
        </w:rPr>
        <w:t>eted Service Deterioration: this is the reduction in service provision such that Call Off Ordering Parties and/or Service Recipients experience material degradation in service quality and/or experience. In order to prove the behaviour, the Catalogue Author</w:t>
      </w:r>
      <w:r>
        <w:rPr>
          <w:rFonts w:ascii="Arial" w:eastAsia="Times New Roman" w:hAnsi="Arial" w:cs="Arial"/>
          <w:color w:val="212121"/>
          <w:sz w:val="20"/>
          <w:szCs w:val="20"/>
        </w:rPr>
        <w:t xml:space="preserve">ity would (relying on audit rights as well as information and reports available to it) be required to prove that: </w:t>
      </w:r>
    </w:p>
    <w:p w14:paraId="73CD6B5C" w14:textId="77777777" w:rsidR="00B06F19" w:rsidRDefault="009A2766">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t>the deterioration was due to material reduction in product scope (as reasonably expected by a customer based on historic licensing entitlemen</w:t>
      </w:r>
      <w:r>
        <w:rPr>
          <w:rFonts w:ascii="Arial" w:eastAsia="Times New Roman" w:hAnsi="Arial" w:cs="Arial"/>
          <w:color w:val="212121"/>
          <w:sz w:val="20"/>
          <w:szCs w:val="20"/>
        </w:rPr>
        <w:t xml:space="preserve">ts), service quality investment, or staffing; and/or </w:t>
      </w:r>
    </w:p>
    <w:p w14:paraId="2A9C9E36" w14:textId="77777777" w:rsidR="00B06F19" w:rsidRDefault="009A2766">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gross profit margin or increase in working capital were achieved as a result of the service degradation.</w:t>
      </w:r>
    </w:p>
    <w:p w14:paraId="556E45C6" w14:textId="77777777" w:rsidR="00B06F19" w:rsidRDefault="009A2766">
      <w:pPr>
        <w:jc w:val="both"/>
        <w:rPr>
          <w:rFonts w:ascii="Arial" w:eastAsia="Times New Roman" w:hAnsi="Arial" w:cs="Arial"/>
          <w:b/>
          <w:color w:val="212121"/>
          <w:sz w:val="20"/>
          <w:szCs w:val="20"/>
        </w:rPr>
      </w:pPr>
      <w:r>
        <w:rPr>
          <w:rFonts w:ascii="Arial" w:eastAsia="Times New Roman" w:hAnsi="Arial" w:cs="Arial"/>
          <w:b/>
          <w:color w:val="212121"/>
          <w:sz w:val="20"/>
          <w:szCs w:val="20"/>
        </w:rPr>
        <w:t>Section F</w:t>
      </w:r>
    </w:p>
    <w:p w14:paraId="027793B3" w14:textId="77777777" w:rsidR="00B06F19" w:rsidRDefault="00B06F19">
      <w:pPr>
        <w:jc w:val="both"/>
        <w:rPr>
          <w:rFonts w:ascii="Arial" w:eastAsia="Times New Roman" w:hAnsi="Arial" w:cs="Arial"/>
          <w:b/>
          <w:color w:val="212121"/>
          <w:sz w:val="20"/>
          <w:szCs w:val="20"/>
        </w:rPr>
      </w:pPr>
    </w:p>
    <w:p w14:paraId="4069FA8A"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Managing Compliance With Commercial Standard</w:t>
      </w:r>
    </w:p>
    <w:p w14:paraId="3CBD6909"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Form of Monitoring</w:t>
      </w:r>
    </w:p>
    <w:p w14:paraId="49735423"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In </w:t>
      </w:r>
      <w:r>
        <w:rPr>
          <w:rFonts w:ascii="Arial" w:eastAsia="Times New Roman" w:hAnsi="Arial" w:cs="Arial"/>
          <w:color w:val="212121"/>
          <w:sz w:val="20"/>
          <w:szCs w:val="20"/>
        </w:rPr>
        <w:t>monitoring compliance with this Commercial Standard the Catalogue Authority shall conduct regular surveys of Call Off Ordering Parties, Service Recipients and Consumer Suppliers in addition to the requirements in relation to records, audit and ongoing comp</w:t>
      </w:r>
      <w:r>
        <w:rPr>
          <w:rFonts w:ascii="Arial" w:eastAsia="Times New Roman" w:hAnsi="Arial" w:cs="Arial"/>
          <w:color w:val="212121"/>
          <w:sz w:val="20"/>
          <w:szCs w:val="20"/>
        </w:rPr>
        <w:t>liance under the terms of the Catalogue Agreement.</w:t>
      </w:r>
    </w:p>
    <w:p w14:paraId="686FA2B2" w14:textId="77777777" w:rsidR="00B06F19" w:rsidRDefault="009A2766">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Notification of Potential Breach</w:t>
      </w:r>
    </w:p>
    <w:p w14:paraId="1DC17AA8"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18" w:name="_Ref8216212"/>
      <w:bookmarkStart w:id="19" w:name="_Ref859080"/>
      <w:r>
        <w:rPr>
          <w:rFonts w:ascii="Arial" w:eastAsia="Times New Roman" w:hAnsi="Arial" w:cs="Arial"/>
          <w:color w:val="212121"/>
          <w:sz w:val="20"/>
          <w:szCs w:val="20"/>
        </w:rPr>
        <w:t>Where the Catalogue Authority has reasonable grounds to consider that a breach of the Commercial Standard has taken place, they shall immediately notify the relevant Suppli</w:t>
      </w:r>
      <w:r>
        <w:rPr>
          <w:rFonts w:ascii="Arial" w:eastAsia="Times New Roman" w:hAnsi="Arial" w:cs="Arial"/>
          <w:color w:val="212121"/>
          <w:sz w:val="20"/>
          <w:szCs w:val="20"/>
        </w:rPr>
        <w:t>er(s), setting out the grounds and relevant information ("</w:t>
      </w:r>
      <w:r>
        <w:rPr>
          <w:rFonts w:ascii="Arial" w:eastAsia="Times New Roman" w:hAnsi="Arial" w:cs="Arial"/>
          <w:b/>
          <w:color w:val="212121"/>
          <w:sz w:val="20"/>
          <w:szCs w:val="20"/>
        </w:rPr>
        <w:t>Notification</w:t>
      </w:r>
      <w:r>
        <w:rPr>
          <w:rFonts w:ascii="Arial" w:eastAsia="Times New Roman" w:hAnsi="Arial" w:cs="Arial"/>
          <w:color w:val="212121"/>
          <w:sz w:val="20"/>
          <w:szCs w:val="20"/>
        </w:rPr>
        <w:t>").</w:t>
      </w:r>
      <w:bookmarkEnd w:id="18"/>
      <w:r>
        <w:rPr>
          <w:rFonts w:ascii="Arial" w:eastAsia="Times New Roman" w:hAnsi="Arial" w:cs="Arial"/>
          <w:color w:val="212121"/>
          <w:sz w:val="20"/>
          <w:szCs w:val="20"/>
        </w:rPr>
        <w:t xml:space="preserve">   </w:t>
      </w:r>
      <w:bookmarkEnd w:id="19"/>
    </w:p>
    <w:p w14:paraId="228B3967" w14:textId="77777777" w:rsidR="00B06F19" w:rsidRDefault="009A2766">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Catalogue Authority issues a Notification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_Ref859080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43</w:t>
      </w:r>
      <w:r>
        <w:rPr>
          <w:rFonts w:ascii="Arial" w:eastAsia="Times New Roman" w:hAnsi="Arial" w:cs="Arial"/>
          <w:color w:val="212121"/>
          <w:sz w:val="20"/>
          <w:szCs w:val="20"/>
        </w:rPr>
        <w:fldChar w:fldCharType="end"/>
      </w:r>
      <w:r>
        <w:rPr>
          <w:rFonts w:ascii="Arial" w:eastAsia="Times New Roman" w:hAnsi="Arial" w:cs="Arial"/>
          <w:color w:val="212121"/>
          <w:sz w:val="20"/>
          <w:szCs w:val="20"/>
        </w:rPr>
        <w:t>, the relevant Supplier(s) shall have 10 Business Days to respond to the Notification and each of the grounds set out in the Notification. Following receipt the Catalogue Authority shall either:</w:t>
      </w:r>
    </w:p>
    <w:p w14:paraId="5225EB00"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accept the Supplier response and cease any further act</w:t>
      </w:r>
      <w:r>
        <w:rPr>
          <w:rFonts w:ascii="Arial" w:eastAsia="Times New Roman" w:hAnsi="Arial" w:cs="Arial"/>
          <w:color w:val="212121"/>
          <w:sz w:val="20"/>
          <w:szCs w:val="20"/>
        </w:rPr>
        <w:t>ion;</w:t>
      </w:r>
    </w:p>
    <w:p w14:paraId="13B53CE3"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request that the Supplier meets with the Catalogue Authority in order to further consider the relevant issues; or</w:t>
      </w:r>
    </w:p>
    <w:p w14:paraId="2AED9ACC" w14:textId="77777777" w:rsidR="00B06F19" w:rsidRDefault="009A2766">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reject the Supplier’s response, in which case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_Ref859443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45</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shall apply.</w:t>
      </w:r>
    </w:p>
    <w:p w14:paraId="78583EC6" w14:textId="77777777" w:rsidR="00B06F19" w:rsidRDefault="009A2766">
      <w:pPr>
        <w:pStyle w:val="ListParagraph"/>
        <w:numPr>
          <w:ilvl w:val="0"/>
          <w:numId w:val="24"/>
        </w:numPr>
        <w:jc w:val="both"/>
        <w:rPr>
          <w:rFonts w:ascii="Arial" w:eastAsia="Times New Roman" w:hAnsi="Arial" w:cs="Arial"/>
          <w:color w:val="212121"/>
          <w:sz w:val="20"/>
          <w:szCs w:val="20"/>
        </w:rPr>
      </w:pPr>
      <w:bookmarkStart w:id="20" w:name="_Ref859443"/>
      <w:r>
        <w:rPr>
          <w:rFonts w:ascii="Arial" w:eastAsia="Times New Roman" w:hAnsi="Arial" w:cs="Arial"/>
          <w:color w:val="212121"/>
          <w:sz w:val="20"/>
          <w:szCs w:val="20"/>
        </w:rPr>
        <w:t>If the relevant Supplier(s) does not remedy the problems described in the Notification or the relevant Supplier(s) fails to respond adequately to the requests or requirements set out in the Notification, then the Catalo</w:t>
      </w:r>
      <w:r>
        <w:rPr>
          <w:rFonts w:ascii="Arial" w:eastAsia="Times New Roman" w:hAnsi="Arial" w:cs="Arial"/>
          <w:color w:val="212121"/>
          <w:sz w:val="20"/>
          <w:szCs w:val="20"/>
        </w:rPr>
        <w:t>gue Authority may at its discretion initiate the breach and remedial processes of the Catalogue Agreement for breach of this Commercial Standard.</w:t>
      </w:r>
      <w:bookmarkEnd w:id="20"/>
    </w:p>
    <w:p w14:paraId="6C6D3ABF" w14:textId="77777777" w:rsidR="00B06F19" w:rsidRDefault="00B06F19">
      <w:pPr>
        <w:jc w:val="both"/>
        <w:rPr>
          <w:rFonts w:ascii="Arial" w:eastAsia="Times New Roman" w:hAnsi="Arial" w:cs="Arial"/>
          <w:color w:val="212121"/>
          <w:sz w:val="20"/>
          <w:szCs w:val="20"/>
        </w:rPr>
      </w:pPr>
    </w:p>
    <w:p w14:paraId="3573A54D" w14:textId="77777777" w:rsidR="00B06F19" w:rsidRDefault="009A2766">
      <w:pPr>
        <w:rPr>
          <w:rFonts w:ascii="Arial" w:eastAsia="Times New Roman" w:hAnsi="Arial" w:cs="Arial"/>
          <w:color w:val="212121"/>
          <w:sz w:val="20"/>
          <w:szCs w:val="20"/>
        </w:rPr>
      </w:pPr>
      <w:r>
        <w:rPr>
          <w:rFonts w:ascii="Arial" w:eastAsia="Times New Roman" w:hAnsi="Arial" w:cs="Arial"/>
          <w:b/>
          <w:color w:val="212121"/>
          <w:sz w:val="20"/>
          <w:szCs w:val="20"/>
        </w:rPr>
        <w:br w:type="page"/>
      </w:r>
    </w:p>
    <w:p w14:paraId="309954D0" w14:textId="77777777" w:rsidR="00B06F19" w:rsidRDefault="009A2766">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1</w:t>
      </w:r>
    </w:p>
    <w:p w14:paraId="0557813D" w14:textId="77777777" w:rsidR="00B06F19" w:rsidRDefault="00B06F19">
      <w:pPr>
        <w:rPr>
          <w:rFonts w:ascii="Arial" w:eastAsia="Times New Roman" w:hAnsi="Arial" w:cs="Arial"/>
          <w:color w:val="212121"/>
          <w:sz w:val="20"/>
          <w:szCs w:val="20"/>
        </w:rPr>
      </w:pPr>
    </w:p>
    <w:p w14:paraId="0905B431" w14:textId="77777777" w:rsidR="00B06F19" w:rsidRDefault="009A2766">
      <w:pPr>
        <w:rPr>
          <w:rFonts w:ascii="Arial" w:hAnsi="Arial" w:cs="Arial"/>
          <w:sz w:val="20"/>
          <w:szCs w:val="20"/>
          <w:u w:val="single"/>
        </w:rPr>
      </w:pPr>
      <w:r>
        <w:rPr>
          <w:rFonts w:ascii="Arial" w:hAnsi="Arial" w:cs="Arial"/>
          <w:sz w:val="20"/>
          <w:szCs w:val="20"/>
          <w:u w:val="single"/>
        </w:rPr>
        <w:t>Benchmark Data</w:t>
      </w:r>
    </w:p>
    <w:p w14:paraId="3ADE63AA" w14:textId="77777777" w:rsidR="00B06F19" w:rsidRDefault="00B06F19">
      <w:pPr>
        <w:rPr>
          <w:rFonts w:ascii="Arial" w:hAnsi="Arial" w:cs="Arial"/>
          <w:sz w:val="20"/>
          <w:szCs w:val="20"/>
          <w:u w:val="single"/>
        </w:rPr>
      </w:pPr>
    </w:p>
    <w:p w14:paraId="00A23C84" w14:textId="77777777" w:rsidR="00B06F19" w:rsidRDefault="009A2766">
      <w:pPr>
        <w:pStyle w:val="ListParagraph"/>
        <w:numPr>
          <w:ilvl w:val="0"/>
          <w:numId w:val="26"/>
        </w:numPr>
        <w:jc w:val="both"/>
        <w:rPr>
          <w:rFonts w:ascii="Arial" w:hAnsi="Arial" w:cs="Arial"/>
          <w:color w:val="000000" w:themeColor="text1"/>
          <w:sz w:val="20"/>
          <w:szCs w:val="20"/>
        </w:rPr>
      </w:pPr>
      <w:r>
        <w:rPr>
          <w:rFonts w:ascii="Arial" w:hAnsi="Arial" w:cs="Arial"/>
          <w:color w:val="000000" w:themeColor="text1"/>
          <w:sz w:val="20"/>
          <w:szCs w:val="20"/>
        </w:rPr>
        <w:t xml:space="preserve">A valuation (ie. an objective measure of what is a fair charging arrangement for provision of an Interface Service) has been made, based on: </w:t>
      </w:r>
    </w:p>
    <w:p w14:paraId="6AF83991" w14:textId="77777777" w:rsidR="00B06F19" w:rsidRDefault="009A2766">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 xml:space="preserve">the due diligence service requirements associated with executing an Interface Connection, as specified </w:t>
      </w:r>
      <w:r>
        <w:rPr>
          <w:rFonts w:ascii="Arial" w:hAnsi="Arial" w:cs="Arial"/>
          <w:color w:val="000000" w:themeColor="text1"/>
          <w:sz w:val="20"/>
          <w:szCs w:val="20"/>
        </w:rPr>
        <w:t>within the Model Interface Licence; and</w:t>
      </w:r>
    </w:p>
    <w:p w14:paraId="4FC5508F" w14:textId="77777777" w:rsidR="00B06F19" w:rsidRDefault="009A2766">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the processing operations cost of volumes of data transactions set at average 25mb per payload, based on a fully costed reference implementation of generally available, undiscounted, data caching and API gateway solu</w:t>
      </w:r>
      <w:r>
        <w:rPr>
          <w:rFonts w:ascii="Arial" w:hAnsi="Arial" w:cs="Arial"/>
          <w:color w:val="000000" w:themeColor="text1"/>
          <w:sz w:val="20"/>
          <w:szCs w:val="20"/>
        </w:rPr>
        <w:t xml:space="preserve">tions (ie the front of an application programming Interface which acts as a single point of entry). </w:t>
      </w:r>
    </w:p>
    <w:p w14:paraId="5FB05E15"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valuation referred to above shall be the Benchmark Data, as more particularly set out in this Annex 1.</w:t>
      </w:r>
    </w:p>
    <w:p w14:paraId="0C162732"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Accordingly the parties to a contract for Interf</w:t>
      </w:r>
      <w:r>
        <w:rPr>
          <w:rFonts w:ascii="Arial" w:hAnsi="Arial" w:cs="Arial"/>
          <w:color w:val="000000" w:themeColor="text1"/>
          <w:sz w:val="20"/>
          <w:szCs w:val="20"/>
        </w:rPr>
        <w:t xml:space="preserve">ace Services are recommended to assess this Benchmark Data where necessary to agree fair charging arrangements for provision of an Interface Service.  </w:t>
      </w:r>
    </w:p>
    <w:p w14:paraId="48EA5B4A"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Where a Framework Authority is seeking to cover any charges on behalf of Consumer Suppliers it shall do </w:t>
      </w:r>
      <w:r>
        <w:rPr>
          <w:rFonts w:ascii="Arial" w:hAnsi="Arial" w:cs="Arial"/>
          <w:color w:val="000000" w:themeColor="text1"/>
          <w:sz w:val="20"/>
          <w:szCs w:val="20"/>
        </w:rPr>
        <w:t>so in accordance with the Benchmark Data, acting as a single aggregated customer in respect of transaction volume calculations.</w:t>
      </w:r>
    </w:p>
    <w:p w14:paraId="61BD1393"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In respect of the following Interfaces provided in accordance with the Interoperability Standard:</w:t>
      </w:r>
    </w:p>
    <w:p w14:paraId="2DA4EB9C" w14:textId="77777777" w:rsidR="00B06F19" w:rsidRDefault="009A2766">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 P</w:t>
      </w:r>
      <w:r>
        <w:rPr>
          <w:rFonts w:ascii="Arial" w:hAnsi="Arial" w:cs="Arial"/>
          <w:color w:val="000000" w:themeColor="text1"/>
          <w:sz w:val="20"/>
          <w:szCs w:val="20"/>
        </w:rPr>
        <w:t>ractice API</w:t>
      </w:r>
    </w:p>
    <w:p w14:paraId="2AEF8728" w14:textId="77777777" w:rsidR="00B06F19" w:rsidRDefault="009A2766">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4220C7F2" w14:textId="77777777" w:rsidR="00B06F19" w:rsidRDefault="009A2766">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 PFS API</w:t>
      </w:r>
    </w:p>
    <w:p w14:paraId="7EA37483" w14:textId="77777777" w:rsidR="00B06F19" w:rsidRDefault="009A2766">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 per Connection benchmark has been set at £5,000 per Connection. </w:t>
      </w:r>
    </w:p>
    <w:p w14:paraId="5FB9D17B"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bookmarkStart w:id="21" w:name="_Ref8215889"/>
      <w:r>
        <w:rPr>
          <w:rFonts w:ascii="Arial" w:hAnsi="Arial" w:cs="Arial"/>
          <w:color w:val="000000" w:themeColor="text1"/>
          <w:sz w:val="20"/>
          <w:szCs w:val="20"/>
        </w:rPr>
        <w:t>In respect of the following Interfaces provided in accordance with the Interoperability Standard;</w:t>
      </w:r>
      <w:bookmarkEnd w:id="21"/>
    </w:p>
    <w:p w14:paraId="76A63A51" w14:textId="77777777" w:rsidR="00B06F19" w:rsidRDefault="009A2766">
      <w:pPr>
        <w:pStyle w:val="ListParagraph"/>
        <w:numPr>
          <w:ilvl w:val="0"/>
          <w:numId w:val="21"/>
        </w:numPr>
        <w:rPr>
          <w:rFonts w:ascii="Arial" w:hAnsi="Arial" w:cs="Arial"/>
          <w:color w:val="000000" w:themeColor="text1"/>
          <w:sz w:val="20"/>
          <w:szCs w:val="20"/>
          <w:lang w:val="de-DE"/>
        </w:rPr>
      </w:pPr>
      <w:r>
        <w:rPr>
          <w:rFonts w:ascii="Arial" w:hAnsi="Arial" w:cs="Arial"/>
          <w:color w:val="000000" w:themeColor="text1"/>
          <w:sz w:val="20"/>
          <w:szCs w:val="20"/>
          <w:lang w:val="de-DE"/>
        </w:rPr>
        <w:t>Interface Mechanism 1 (IM1): PFS API</w:t>
      </w:r>
    </w:p>
    <w:p w14:paraId="62181F13" w14:textId="77777777" w:rsidR="00B06F19" w:rsidRDefault="009A2766">
      <w:pPr>
        <w:pStyle w:val="ListParagraph"/>
        <w:rPr>
          <w:rFonts w:ascii="Arial" w:hAnsi="Arial" w:cs="Arial"/>
          <w:color w:val="000000" w:themeColor="text1"/>
          <w:sz w:val="20"/>
          <w:szCs w:val="20"/>
        </w:rPr>
      </w:pPr>
      <w:r>
        <w:rPr>
          <w:rFonts w:ascii="Arial" w:hAnsi="Arial" w:cs="Arial"/>
          <w:color w:val="000000" w:themeColor="text1"/>
          <w:sz w:val="20"/>
          <w:szCs w:val="20"/>
        </w:rPr>
        <w:t>a transactional cost per call according to the following volume banded price table below</w:t>
      </w:r>
    </w:p>
    <w:p w14:paraId="526CFA3C" w14:textId="77777777" w:rsidR="00B06F19" w:rsidRDefault="00B06F19">
      <w:pPr>
        <w:rPr>
          <w:rFonts w:ascii="Arial" w:hAnsi="Arial" w:cs="Arial"/>
          <w:color w:val="FF0000"/>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06F19" w14:paraId="6DCEAC49" w14:textId="77777777">
        <w:tc>
          <w:tcPr>
            <w:tcW w:w="2254" w:type="dxa"/>
          </w:tcPr>
          <w:p w14:paraId="39C8C3F0" w14:textId="77777777" w:rsidR="00B06F19" w:rsidRDefault="009A2766">
            <w:pPr>
              <w:ind w:left="360"/>
              <w:rPr>
                <w:rFonts w:ascii="Arial" w:hAnsi="Arial" w:cs="Arial"/>
                <w:b/>
                <w:sz w:val="20"/>
                <w:szCs w:val="20"/>
              </w:rPr>
            </w:pPr>
            <w:r>
              <w:rPr>
                <w:rFonts w:ascii="Arial" w:hAnsi="Arial" w:cs="Arial"/>
                <w:b/>
                <w:sz w:val="20"/>
                <w:szCs w:val="20"/>
              </w:rPr>
              <w:t>Volume band</w:t>
            </w:r>
          </w:p>
        </w:tc>
        <w:tc>
          <w:tcPr>
            <w:tcW w:w="2254" w:type="dxa"/>
          </w:tcPr>
          <w:p w14:paraId="6611967E" w14:textId="77777777" w:rsidR="00B06F19" w:rsidRDefault="009A2766">
            <w:pPr>
              <w:ind w:left="360"/>
              <w:rPr>
                <w:rFonts w:ascii="Arial" w:hAnsi="Arial" w:cs="Arial"/>
                <w:b/>
                <w:sz w:val="20"/>
                <w:szCs w:val="20"/>
              </w:rPr>
            </w:pPr>
            <w:r>
              <w:rPr>
                <w:rFonts w:ascii="Arial" w:hAnsi="Arial" w:cs="Arial"/>
                <w:b/>
                <w:sz w:val="20"/>
                <w:szCs w:val="20"/>
              </w:rPr>
              <w:t>Total monthly call volumes</w:t>
            </w:r>
          </w:p>
        </w:tc>
        <w:tc>
          <w:tcPr>
            <w:tcW w:w="2254" w:type="dxa"/>
          </w:tcPr>
          <w:p w14:paraId="4BC7447A" w14:textId="77777777" w:rsidR="00B06F19" w:rsidRDefault="009A2766">
            <w:pPr>
              <w:ind w:left="360"/>
              <w:rPr>
                <w:rFonts w:ascii="Arial" w:hAnsi="Arial" w:cs="Arial"/>
                <w:b/>
                <w:sz w:val="20"/>
                <w:szCs w:val="20"/>
              </w:rPr>
            </w:pPr>
            <w:r>
              <w:rPr>
                <w:rFonts w:ascii="Arial" w:hAnsi="Arial" w:cs="Arial"/>
                <w:b/>
                <w:sz w:val="20"/>
                <w:szCs w:val="20"/>
              </w:rPr>
              <w:t>GBP</w:t>
            </w:r>
          </w:p>
        </w:tc>
        <w:tc>
          <w:tcPr>
            <w:tcW w:w="2254" w:type="dxa"/>
          </w:tcPr>
          <w:p w14:paraId="369ADAF5" w14:textId="77777777" w:rsidR="00B06F19" w:rsidRDefault="009A2766">
            <w:pPr>
              <w:ind w:left="360"/>
              <w:rPr>
                <w:rFonts w:ascii="Arial" w:hAnsi="Arial" w:cs="Arial"/>
                <w:b/>
                <w:sz w:val="20"/>
                <w:szCs w:val="20"/>
              </w:rPr>
            </w:pPr>
            <w:r>
              <w:rPr>
                <w:rFonts w:ascii="Arial" w:hAnsi="Arial" w:cs="Arial"/>
                <w:b/>
                <w:sz w:val="20"/>
                <w:szCs w:val="20"/>
              </w:rPr>
              <w:t>Pence</w:t>
            </w:r>
          </w:p>
        </w:tc>
      </w:tr>
      <w:tr w:rsidR="00B06F19" w14:paraId="06BC9C57" w14:textId="77777777">
        <w:tc>
          <w:tcPr>
            <w:tcW w:w="2254" w:type="dxa"/>
          </w:tcPr>
          <w:p w14:paraId="2CB47112" w14:textId="77777777" w:rsidR="00B06F19" w:rsidRDefault="009A2766">
            <w:pPr>
              <w:ind w:left="360"/>
              <w:rPr>
                <w:rFonts w:ascii="Arial" w:hAnsi="Arial" w:cs="Arial"/>
                <w:sz w:val="20"/>
                <w:szCs w:val="20"/>
              </w:rPr>
            </w:pPr>
            <w:r>
              <w:rPr>
                <w:rFonts w:ascii="Arial" w:hAnsi="Arial" w:cs="Arial"/>
                <w:sz w:val="20"/>
                <w:szCs w:val="20"/>
              </w:rPr>
              <w:t>Band A</w:t>
            </w:r>
          </w:p>
        </w:tc>
        <w:tc>
          <w:tcPr>
            <w:tcW w:w="2254" w:type="dxa"/>
          </w:tcPr>
          <w:p w14:paraId="21627F75" w14:textId="77777777" w:rsidR="00B06F19" w:rsidRDefault="009A2766">
            <w:pPr>
              <w:ind w:left="360"/>
              <w:rPr>
                <w:rFonts w:ascii="Arial" w:hAnsi="Arial" w:cs="Arial"/>
                <w:sz w:val="20"/>
                <w:szCs w:val="20"/>
              </w:rPr>
            </w:pPr>
            <w:r>
              <w:rPr>
                <w:rFonts w:ascii="Arial" w:hAnsi="Arial" w:cs="Arial"/>
                <w:sz w:val="20"/>
                <w:szCs w:val="20"/>
              </w:rPr>
              <w:t>Up to 25,000,000</w:t>
            </w:r>
          </w:p>
        </w:tc>
        <w:tc>
          <w:tcPr>
            <w:tcW w:w="2254" w:type="dxa"/>
          </w:tcPr>
          <w:p w14:paraId="5AC05CA8" w14:textId="77777777" w:rsidR="00B06F19" w:rsidRDefault="009A2766">
            <w:pPr>
              <w:ind w:left="360"/>
              <w:rPr>
                <w:rFonts w:ascii="Arial" w:hAnsi="Arial" w:cs="Arial"/>
                <w:sz w:val="20"/>
                <w:szCs w:val="20"/>
              </w:rPr>
            </w:pPr>
            <w:r>
              <w:rPr>
                <w:rFonts w:ascii="Arial" w:hAnsi="Arial" w:cs="Arial"/>
                <w:sz w:val="20"/>
                <w:szCs w:val="20"/>
              </w:rPr>
              <w:t>£0.000337</w:t>
            </w:r>
          </w:p>
        </w:tc>
        <w:tc>
          <w:tcPr>
            <w:tcW w:w="2254" w:type="dxa"/>
          </w:tcPr>
          <w:p w14:paraId="20AF78DE" w14:textId="77777777" w:rsidR="00B06F19" w:rsidRDefault="009A2766">
            <w:pPr>
              <w:ind w:left="360"/>
              <w:rPr>
                <w:rFonts w:ascii="Arial" w:hAnsi="Arial" w:cs="Arial"/>
                <w:sz w:val="20"/>
                <w:szCs w:val="20"/>
              </w:rPr>
            </w:pPr>
            <w:r>
              <w:rPr>
                <w:rFonts w:ascii="Arial" w:hAnsi="Arial" w:cs="Arial"/>
                <w:sz w:val="20"/>
                <w:szCs w:val="20"/>
              </w:rPr>
              <w:t>0.0337</w:t>
            </w:r>
          </w:p>
        </w:tc>
      </w:tr>
      <w:tr w:rsidR="00B06F19" w14:paraId="42A17C61" w14:textId="77777777">
        <w:tc>
          <w:tcPr>
            <w:tcW w:w="2254" w:type="dxa"/>
          </w:tcPr>
          <w:p w14:paraId="0CC67838" w14:textId="77777777" w:rsidR="00B06F19" w:rsidRDefault="009A2766">
            <w:pPr>
              <w:ind w:left="360"/>
              <w:rPr>
                <w:rFonts w:ascii="Arial" w:hAnsi="Arial" w:cs="Arial"/>
                <w:sz w:val="20"/>
                <w:szCs w:val="20"/>
              </w:rPr>
            </w:pPr>
            <w:r>
              <w:rPr>
                <w:rFonts w:ascii="Arial" w:hAnsi="Arial" w:cs="Arial"/>
                <w:sz w:val="20"/>
                <w:szCs w:val="20"/>
              </w:rPr>
              <w:t>Band B</w:t>
            </w:r>
          </w:p>
        </w:tc>
        <w:tc>
          <w:tcPr>
            <w:tcW w:w="2254" w:type="dxa"/>
          </w:tcPr>
          <w:p w14:paraId="34FEC22E" w14:textId="77777777" w:rsidR="00B06F19" w:rsidRDefault="009A2766">
            <w:pPr>
              <w:ind w:left="360"/>
              <w:rPr>
                <w:rFonts w:ascii="Arial" w:hAnsi="Arial" w:cs="Arial"/>
                <w:sz w:val="20"/>
                <w:szCs w:val="20"/>
              </w:rPr>
            </w:pPr>
            <w:r>
              <w:rPr>
                <w:rFonts w:ascii="Arial" w:hAnsi="Arial" w:cs="Arial"/>
                <w:sz w:val="20"/>
                <w:szCs w:val="20"/>
              </w:rPr>
              <w:t>Up to 50,000,000</w:t>
            </w:r>
          </w:p>
        </w:tc>
        <w:tc>
          <w:tcPr>
            <w:tcW w:w="2254" w:type="dxa"/>
          </w:tcPr>
          <w:p w14:paraId="2C6C1D47" w14:textId="77777777" w:rsidR="00B06F19" w:rsidRDefault="009A2766">
            <w:pPr>
              <w:ind w:left="360"/>
              <w:rPr>
                <w:rFonts w:ascii="Arial" w:hAnsi="Arial" w:cs="Arial"/>
                <w:sz w:val="20"/>
                <w:szCs w:val="20"/>
              </w:rPr>
            </w:pPr>
            <w:r>
              <w:rPr>
                <w:rFonts w:ascii="Arial" w:hAnsi="Arial" w:cs="Arial"/>
                <w:sz w:val="20"/>
                <w:szCs w:val="20"/>
              </w:rPr>
              <w:t>£0.000211</w:t>
            </w:r>
          </w:p>
        </w:tc>
        <w:tc>
          <w:tcPr>
            <w:tcW w:w="2254" w:type="dxa"/>
          </w:tcPr>
          <w:p w14:paraId="4AABF9F8" w14:textId="77777777" w:rsidR="00B06F19" w:rsidRDefault="009A2766">
            <w:pPr>
              <w:ind w:left="360"/>
              <w:rPr>
                <w:rFonts w:ascii="Arial" w:hAnsi="Arial" w:cs="Arial"/>
                <w:sz w:val="20"/>
                <w:szCs w:val="20"/>
              </w:rPr>
            </w:pPr>
            <w:r>
              <w:rPr>
                <w:rFonts w:ascii="Arial" w:hAnsi="Arial" w:cs="Arial"/>
                <w:sz w:val="20"/>
                <w:szCs w:val="20"/>
              </w:rPr>
              <w:t>0.0211</w:t>
            </w:r>
          </w:p>
        </w:tc>
      </w:tr>
      <w:tr w:rsidR="00B06F19" w14:paraId="057A73F7" w14:textId="77777777">
        <w:tc>
          <w:tcPr>
            <w:tcW w:w="2254" w:type="dxa"/>
          </w:tcPr>
          <w:p w14:paraId="482D748C" w14:textId="77777777" w:rsidR="00B06F19" w:rsidRDefault="009A2766">
            <w:pPr>
              <w:ind w:left="360"/>
              <w:rPr>
                <w:rFonts w:ascii="Arial" w:hAnsi="Arial" w:cs="Arial"/>
                <w:sz w:val="20"/>
                <w:szCs w:val="20"/>
              </w:rPr>
            </w:pPr>
            <w:r>
              <w:rPr>
                <w:rFonts w:ascii="Arial" w:hAnsi="Arial" w:cs="Arial"/>
                <w:sz w:val="20"/>
                <w:szCs w:val="20"/>
              </w:rPr>
              <w:t>Band C</w:t>
            </w:r>
          </w:p>
        </w:tc>
        <w:tc>
          <w:tcPr>
            <w:tcW w:w="2254" w:type="dxa"/>
          </w:tcPr>
          <w:p w14:paraId="12DCFA80" w14:textId="77777777" w:rsidR="00B06F19" w:rsidRDefault="009A2766">
            <w:pPr>
              <w:ind w:left="360"/>
              <w:rPr>
                <w:rFonts w:ascii="Arial" w:hAnsi="Arial" w:cs="Arial"/>
                <w:sz w:val="20"/>
                <w:szCs w:val="20"/>
              </w:rPr>
            </w:pPr>
            <w:r>
              <w:rPr>
                <w:rFonts w:ascii="Arial" w:hAnsi="Arial" w:cs="Arial"/>
                <w:sz w:val="20"/>
                <w:szCs w:val="20"/>
              </w:rPr>
              <w:t>Up to 100,000,000</w:t>
            </w:r>
          </w:p>
        </w:tc>
        <w:tc>
          <w:tcPr>
            <w:tcW w:w="2254" w:type="dxa"/>
          </w:tcPr>
          <w:p w14:paraId="4282B998" w14:textId="77777777" w:rsidR="00B06F19" w:rsidRDefault="009A2766">
            <w:pPr>
              <w:ind w:left="360"/>
              <w:rPr>
                <w:rFonts w:ascii="Arial" w:hAnsi="Arial" w:cs="Arial"/>
                <w:sz w:val="20"/>
                <w:szCs w:val="20"/>
              </w:rPr>
            </w:pPr>
            <w:r>
              <w:rPr>
                <w:rFonts w:ascii="Arial" w:hAnsi="Arial" w:cs="Arial"/>
                <w:sz w:val="20"/>
                <w:szCs w:val="20"/>
              </w:rPr>
              <w:t>£0.000183</w:t>
            </w:r>
          </w:p>
        </w:tc>
        <w:tc>
          <w:tcPr>
            <w:tcW w:w="2254" w:type="dxa"/>
          </w:tcPr>
          <w:p w14:paraId="2C16E5CB" w14:textId="77777777" w:rsidR="00B06F19" w:rsidRDefault="009A2766">
            <w:pPr>
              <w:ind w:left="360"/>
              <w:rPr>
                <w:rFonts w:ascii="Arial" w:hAnsi="Arial" w:cs="Arial"/>
                <w:sz w:val="20"/>
                <w:szCs w:val="20"/>
              </w:rPr>
            </w:pPr>
            <w:r>
              <w:rPr>
                <w:rFonts w:ascii="Arial" w:hAnsi="Arial" w:cs="Arial"/>
                <w:sz w:val="20"/>
                <w:szCs w:val="20"/>
              </w:rPr>
              <w:t>0.0183</w:t>
            </w:r>
          </w:p>
        </w:tc>
      </w:tr>
      <w:tr w:rsidR="00B06F19" w14:paraId="28CAC026" w14:textId="77777777">
        <w:tc>
          <w:tcPr>
            <w:tcW w:w="2254" w:type="dxa"/>
          </w:tcPr>
          <w:p w14:paraId="45BF8EB1" w14:textId="77777777" w:rsidR="00B06F19" w:rsidRDefault="009A2766">
            <w:pPr>
              <w:ind w:left="360"/>
              <w:rPr>
                <w:rFonts w:ascii="Arial" w:hAnsi="Arial" w:cs="Arial"/>
                <w:sz w:val="20"/>
                <w:szCs w:val="20"/>
              </w:rPr>
            </w:pPr>
            <w:r>
              <w:rPr>
                <w:rFonts w:ascii="Arial" w:hAnsi="Arial" w:cs="Arial"/>
                <w:sz w:val="20"/>
                <w:szCs w:val="20"/>
              </w:rPr>
              <w:t>Band D</w:t>
            </w:r>
          </w:p>
        </w:tc>
        <w:tc>
          <w:tcPr>
            <w:tcW w:w="2254" w:type="dxa"/>
          </w:tcPr>
          <w:p w14:paraId="60D1EC79" w14:textId="77777777" w:rsidR="00B06F19" w:rsidRDefault="009A2766">
            <w:pPr>
              <w:ind w:left="360"/>
              <w:rPr>
                <w:rFonts w:ascii="Arial" w:hAnsi="Arial" w:cs="Arial"/>
                <w:sz w:val="20"/>
                <w:szCs w:val="20"/>
              </w:rPr>
            </w:pPr>
            <w:r>
              <w:rPr>
                <w:rFonts w:ascii="Arial" w:hAnsi="Arial" w:cs="Arial"/>
                <w:sz w:val="20"/>
                <w:szCs w:val="20"/>
              </w:rPr>
              <w:t>Up to 200,000,000</w:t>
            </w:r>
          </w:p>
        </w:tc>
        <w:tc>
          <w:tcPr>
            <w:tcW w:w="2254" w:type="dxa"/>
          </w:tcPr>
          <w:p w14:paraId="7069C56E" w14:textId="77777777" w:rsidR="00B06F19" w:rsidRDefault="009A2766">
            <w:pPr>
              <w:ind w:left="360"/>
              <w:rPr>
                <w:rFonts w:ascii="Arial" w:hAnsi="Arial" w:cs="Arial"/>
                <w:sz w:val="20"/>
                <w:szCs w:val="20"/>
              </w:rPr>
            </w:pPr>
            <w:r>
              <w:rPr>
                <w:rFonts w:ascii="Arial" w:hAnsi="Arial" w:cs="Arial"/>
                <w:sz w:val="20"/>
                <w:szCs w:val="20"/>
              </w:rPr>
              <w:t>£0.000168</w:t>
            </w:r>
          </w:p>
        </w:tc>
        <w:tc>
          <w:tcPr>
            <w:tcW w:w="2254" w:type="dxa"/>
          </w:tcPr>
          <w:p w14:paraId="24C8073F" w14:textId="77777777" w:rsidR="00B06F19" w:rsidRDefault="009A2766">
            <w:pPr>
              <w:ind w:left="360"/>
              <w:rPr>
                <w:rFonts w:ascii="Arial" w:hAnsi="Arial" w:cs="Arial"/>
                <w:sz w:val="20"/>
                <w:szCs w:val="20"/>
              </w:rPr>
            </w:pPr>
            <w:r>
              <w:rPr>
                <w:rFonts w:ascii="Arial" w:hAnsi="Arial" w:cs="Arial"/>
                <w:sz w:val="20"/>
                <w:szCs w:val="20"/>
              </w:rPr>
              <w:t>0.0168</w:t>
            </w:r>
          </w:p>
        </w:tc>
      </w:tr>
      <w:tr w:rsidR="00B06F19" w14:paraId="21792526" w14:textId="77777777">
        <w:tc>
          <w:tcPr>
            <w:tcW w:w="2254" w:type="dxa"/>
          </w:tcPr>
          <w:p w14:paraId="053A377E" w14:textId="77777777" w:rsidR="00B06F19" w:rsidRDefault="009A2766">
            <w:pPr>
              <w:ind w:left="360"/>
              <w:rPr>
                <w:rFonts w:ascii="Arial" w:hAnsi="Arial" w:cs="Arial"/>
                <w:sz w:val="20"/>
                <w:szCs w:val="20"/>
              </w:rPr>
            </w:pPr>
            <w:r>
              <w:rPr>
                <w:rFonts w:ascii="Arial" w:hAnsi="Arial" w:cs="Arial"/>
                <w:sz w:val="20"/>
                <w:szCs w:val="20"/>
              </w:rPr>
              <w:t>Band E</w:t>
            </w:r>
          </w:p>
        </w:tc>
        <w:tc>
          <w:tcPr>
            <w:tcW w:w="2254" w:type="dxa"/>
          </w:tcPr>
          <w:p w14:paraId="256F8D67" w14:textId="77777777" w:rsidR="00B06F19" w:rsidRDefault="009A2766">
            <w:pPr>
              <w:ind w:left="360"/>
              <w:rPr>
                <w:rFonts w:ascii="Arial" w:hAnsi="Arial" w:cs="Arial"/>
                <w:sz w:val="20"/>
                <w:szCs w:val="20"/>
              </w:rPr>
            </w:pPr>
            <w:r>
              <w:rPr>
                <w:rFonts w:ascii="Arial" w:hAnsi="Arial" w:cs="Arial"/>
                <w:sz w:val="20"/>
                <w:szCs w:val="20"/>
              </w:rPr>
              <w:t>Up to 300,000,000</w:t>
            </w:r>
          </w:p>
        </w:tc>
        <w:tc>
          <w:tcPr>
            <w:tcW w:w="2254" w:type="dxa"/>
          </w:tcPr>
          <w:p w14:paraId="43907DD6" w14:textId="77777777" w:rsidR="00B06F19" w:rsidRDefault="009A2766">
            <w:pPr>
              <w:ind w:left="360"/>
              <w:rPr>
                <w:rFonts w:ascii="Arial" w:hAnsi="Arial" w:cs="Arial"/>
                <w:sz w:val="20"/>
                <w:szCs w:val="20"/>
              </w:rPr>
            </w:pPr>
            <w:r>
              <w:rPr>
                <w:rFonts w:ascii="Arial" w:hAnsi="Arial" w:cs="Arial"/>
                <w:sz w:val="20"/>
                <w:szCs w:val="20"/>
              </w:rPr>
              <w:t>£0.000164</w:t>
            </w:r>
          </w:p>
        </w:tc>
        <w:tc>
          <w:tcPr>
            <w:tcW w:w="2254" w:type="dxa"/>
          </w:tcPr>
          <w:p w14:paraId="19385748" w14:textId="77777777" w:rsidR="00B06F19" w:rsidRDefault="009A2766">
            <w:pPr>
              <w:ind w:left="360"/>
              <w:rPr>
                <w:rFonts w:ascii="Arial" w:hAnsi="Arial" w:cs="Arial"/>
                <w:sz w:val="20"/>
                <w:szCs w:val="20"/>
              </w:rPr>
            </w:pPr>
            <w:r>
              <w:rPr>
                <w:rFonts w:ascii="Arial" w:hAnsi="Arial" w:cs="Arial"/>
                <w:sz w:val="20"/>
                <w:szCs w:val="20"/>
              </w:rPr>
              <w:t>0.0164</w:t>
            </w:r>
          </w:p>
        </w:tc>
      </w:tr>
      <w:tr w:rsidR="00B06F19" w14:paraId="6363403A" w14:textId="77777777">
        <w:tc>
          <w:tcPr>
            <w:tcW w:w="2254" w:type="dxa"/>
          </w:tcPr>
          <w:p w14:paraId="3F92DAED" w14:textId="77777777" w:rsidR="00B06F19" w:rsidRDefault="009A2766">
            <w:pPr>
              <w:ind w:left="360"/>
              <w:rPr>
                <w:rFonts w:ascii="Arial" w:hAnsi="Arial" w:cs="Arial"/>
                <w:sz w:val="20"/>
                <w:szCs w:val="20"/>
              </w:rPr>
            </w:pPr>
            <w:r>
              <w:rPr>
                <w:rFonts w:ascii="Arial" w:hAnsi="Arial" w:cs="Arial"/>
                <w:sz w:val="20"/>
                <w:szCs w:val="20"/>
              </w:rPr>
              <w:t>Band F</w:t>
            </w:r>
          </w:p>
        </w:tc>
        <w:tc>
          <w:tcPr>
            <w:tcW w:w="2254" w:type="dxa"/>
          </w:tcPr>
          <w:p w14:paraId="7FE591CE" w14:textId="77777777" w:rsidR="00B06F19" w:rsidRDefault="009A2766">
            <w:pPr>
              <w:ind w:left="360"/>
              <w:rPr>
                <w:rFonts w:ascii="Arial" w:hAnsi="Arial" w:cs="Arial"/>
                <w:sz w:val="20"/>
                <w:szCs w:val="20"/>
              </w:rPr>
            </w:pPr>
            <w:r>
              <w:rPr>
                <w:rFonts w:ascii="Arial" w:hAnsi="Arial" w:cs="Arial"/>
                <w:sz w:val="20"/>
                <w:szCs w:val="20"/>
              </w:rPr>
              <w:t>Over 300,000,000</w:t>
            </w:r>
          </w:p>
        </w:tc>
        <w:tc>
          <w:tcPr>
            <w:tcW w:w="2254" w:type="dxa"/>
          </w:tcPr>
          <w:p w14:paraId="251798A1" w14:textId="77777777" w:rsidR="00B06F19" w:rsidRDefault="009A2766">
            <w:pPr>
              <w:ind w:left="360"/>
              <w:rPr>
                <w:rFonts w:ascii="Arial" w:hAnsi="Arial" w:cs="Arial"/>
                <w:sz w:val="20"/>
                <w:szCs w:val="20"/>
              </w:rPr>
            </w:pPr>
            <w:r>
              <w:rPr>
                <w:rFonts w:ascii="Arial" w:hAnsi="Arial" w:cs="Arial"/>
                <w:sz w:val="20"/>
                <w:szCs w:val="20"/>
              </w:rPr>
              <w:t>£0.000157</w:t>
            </w:r>
          </w:p>
        </w:tc>
        <w:tc>
          <w:tcPr>
            <w:tcW w:w="2254" w:type="dxa"/>
          </w:tcPr>
          <w:p w14:paraId="154717A8" w14:textId="77777777" w:rsidR="00B06F19" w:rsidRDefault="009A2766">
            <w:pPr>
              <w:ind w:left="360"/>
              <w:rPr>
                <w:rFonts w:ascii="Arial" w:hAnsi="Arial" w:cs="Arial"/>
                <w:sz w:val="20"/>
                <w:szCs w:val="20"/>
              </w:rPr>
            </w:pPr>
            <w:r>
              <w:rPr>
                <w:rFonts w:ascii="Arial" w:hAnsi="Arial" w:cs="Arial"/>
                <w:sz w:val="20"/>
                <w:szCs w:val="20"/>
              </w:rPr>
              <w:t>0.0157</w:t>
            </w:r>
          </w:p>
        </w:tc>
      </w:tr>
    </w:tbl>
    <w:p w14:paraId="71A3D3C0" w14:textId="77777777" w:rsidR="00B06F19" w:rsidRDefault="00B06F19">
      <w:pPr>
        <w:rPr>
          <w:rFonts w:ascii="Arial" w:hAnsi="Arial" w:cs="Arial"/>
          <w:color w:val="000000" w:themeColor="text1"/>
          <w:sz w:val="20"/>
          <w:szCs w:val="20"/>
        </w:rPr>
      </w:pPr>
    </w:p>
    <w:p w14:paraId="34FF4F0F" w14:textId="77777777" w:rsidR="00B06F19" w:rsidRDefault="009A2766">
      <w:pPr>
        <w:pStyle w:val="ListParagraph"/>
        <w:rPr>
          <w:rFonts w:ascii="Arial" w:hAnsi="Arial" w:cs="Arial"/>
          <w:color w:val="000000" w:themeColor="text1"/>
          <w:sz w:val="20"/>
          <w:szCs w:val="20"/>
        </w:rPr>
      </w:pPr>
      <w:r>
        <w:rPr>
          <w:rFonts w:ascii="Arial" w:hAnsi="Arial" w:cs="Arial"/>
          <w:color w:val="000000" w:themeColor="text1"/>
          <w:sz w:val="20"/>
          <w:szCs w:val="20"/>
        </w:rPr>
        <w:t>Note: No indexation will apply to the above charge rates.</w:t>
      </w:r>
    </w:p>
    <w:p w14:paraId="4188B1EA" w14:textId="77777777" w:rsidR="00B06F19" w:rsidRDefault="00B06F19">
      <w:pPr>
        <w:rPr>
          <w:rFonts w:ascii="Arial" w:hAnsi="Arial" w:cs="Arial"/>
          <w:color w:val="FF0000"/>
          <w:sz w:val="20"/>
          <w:szCs w:val="20"/>
        </w:rPr>
      </w:pPr>
    </w:p>
    <w:p w14:paraId="341E3214"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bookmarkStart w:id="22" w:name="_Ref8215899"/>
      <w:r>
        <w:rPr>
          <w:rFonts w:ascii="Arial" w:hAnsi="Arial" w:cs="Arial"/>
          <w:color w:val="000000" w:themeColor="text1"/>
          <w:sz w:val="20"/>
          <w:szCs w:val="20"/>
        </w:rPr>
        <w:t xml:space="preserve">In </w:t>
      </w:r>
      <w:r>
        <w:rPr>
          <w:rFonts w:ascii="Arial" w:hAnsi="Arial" w:cs="Arial"/>
          <w:color w:val="000000" w:themeColor="text1"/>
          <w:sz w:val="20"/>
          <w:szCs w:val="20"/>
        </w:rPr>
        <w:t>respect of the following Interfaces provided in accordance with the Interoperability Standard;</w:t>
      </w:r>
      <w:bookmarkEnd w:id="22"/>
    </w:p>
    <w:p w14:paraId="0573FB77" w14:textId="77777777" w:rsidR="00B06F19" w:rsidRDefault="009A2766">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Interface Mechanism 1 (IM1): Practice API</w:t>
      </w:r>
    </w:p>
    <w:p w14:paraId="4D82C1AC" w14:textId="77777777" w:rsidR="00B06F19" w:rsidRDefault="009A2766">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2C4CBB3A" w14:textId="77777777" w:rsidR="00B06F19" w:rsidRDefault="009A2766">
      <w:pPr>
        <w:pStyle w:val="ListParagraph"/>
        <w:rPr>
          <w:rFonts w:ascii="Arial" w:hAnsi="Arial" w:cs="Arial"/>
          <w:color w:val="000000" w:themeColor="text1"/>
          <w:sz w:val="20"/>
          <w:szCs w:val="20"/>
        </w:rPr>
      </w:pPr>
      <w:r>
        <w:rPr>
          <w:rFonts w:ascii="Arial" w:hAnsi="Arial" w:cs="Arial"/>
          <w:color w:val="000000" w:themeColor="text1"/>
          <w:sz w:val="20"/>
          <w:szCs w:val="20"/>
        </w:rPr>
        <w:t>an annual service charge of per Connection per annum shall be allowable acco</w:t>
      </w:r>
      <w:r>
        <w:rPr>
          <w:rFonts w:ascii="Arial" w:hAnsi="Arial" w:cs="Arial"/>
          <w:color w:val="000000" w:themeColor="text1"/>
          <w:sz w:val="20"/>
          <w:szCs w:val="20"/>
        </w:rPr>
        <w:t xml:space="preserve">rding to the following volume banded price table below </w:t>
      </w:r>
    </w:p>
    <w:tbl>
      <w:tblPr>
        <w:tblStyle w:val="TableGrid"/>
        <w:tblW w:w="0" w:type="auto"/>
        <w:tblLook w:val="04A0" w:firstRow="1" w:lastRow="0" w:firstColumn="1" w:lastColumn="0" w:noHBand="0" w:noVBand="1"/>
      </w:tblPr>
      <w:tblGrid>
        <w:gridCol w:w="1695"/>
        <w:gridCol w:w="3262"/>
        <w:gridCol w:w="1984"/>
        <w:gridCol w:w="2069"/>
      </w:tblGrid>
      <w:tr w:rsidR="00B06F19" w14:paraId="11AADD78" w14:textId="77777777">
        <w:tc>
          <w:tcPr>
            <w:tcW w:w="1695" w:type="dxa"/>
          </w:tcPr>
          <w:p w14:paraId="16B76E73" w14:textId="77777777" w:rsidR="00B06F19" w:rsidRDefault="009A2766">
            <w:pPr>
              <w:ind w:left="360"/>
              <w:rPr>
                <w:rFonts w:ascii="Arial" w:hAnsi="Arial" w:cs="Arial"/>
                <w:b/>
                <w:sz w:val="20"/>
                <w:szCs w:val="20"/>
              </w:rPr>
            </w:pPr>
            <w:r>
              <w:rPr>
                <w:rFonts w:ascii="Arial" w:hAnsi="Arial" w:cs="Arial"/>
                <w:b/>
                <w:sz w:val="20"/>
                <w:szCs w:val="20"/>
              </w:rPr>
              <w:t>Volume band</w:t>
            </w:r>
          </w:p>
        </w:tc>
        <w:tc>
          <w:tcPr>
            <w:tcW w:w="3262" w:type="dxa"/>
          </w:tcPr>
          <w:p w14:paraId="1614E51B" w14:textId="77777777" w:rsidR="00B06F19" w:rsidRDefault="009A2766">
            <w:pPr>
              <w:ind w:left="360"/>
              <w:rPr>
                <w:rFonts w:ascii="Arial" w:hAnsi="Arial" w:cs="Arial"/>
                <w:b/>
                <w:sz w:val="20"/>
                <w:szCs w:val="20"/>
              </w:rPr>
            </w:pPr>
            <w:r>
              <w:rPr>
                <w:rFonts w:ascii="Arial" w:hAnsi="Arial" w:cs="Arial"/>
                <w:b/>
                <w:sz w:val="20"/>
                <w:szCs w:val="20"/>
              </w:rPr>
              <w:t>Total monthly call volumes:</w:t>
            </w:r>
          </w:p>
        </w:tc>
        <w:tc>
          <w:tcPr>
            <w:tcW w:w="1984" w:type="dxa"/>
          </w:tcPr>
          <w:p w14:paraId="3AA6008B" w14:textId="77777777" w:rsidR="00B06F19" w:rsidRDefault="009A2766">
            <w:pPr>
              <w:ind w:left="360"/>
              <w:rPr>
                <w:rFonts w:ascii="Arial" w:hAnsi="Arial" w:cs="Arial"/>
                <w:b/>
                <w:sz w:val="20"/>
                <w:szCs w:val="20"/>
              </w:rPr>
            </w:pPr>
            <w:r>
              <w:rPr>
                <w:rFonts w:ascii="Arial" w:hAnsi="Arial" w:cs="Arial"/>
                <w:b/>
                <w:sz w:val="20"/>
                <w:szCs w:val="20"/>
              </w:rPr>
              <w:t>Connection Charge £PA</w:t>
            </w:r>
          </w:p>
        </w:tc>
        <w:tc>
          <w:tcPr>
            <w:tcW w:w="2069" w:type="dxa"/>
          </w:tcPr>
          <w:p w14:paraId="0D6FB622" w14:textId="77777777" w:rsidR="00B06F19" w:rsidRDefault="009A2766">
            <w:pPr>
              <w:ind w:left="360"/>
              <w:rPr>
                <w:rFonts w:ascii="Arial" w:hAnsi="Arial" w:cs="Arial"/>
                <w:b/>
                <w:sz w:val="20"/>
                <w:szCs w:val="20"/>
              </w:rPr>
            </w:pPr>
            <w:r>
              <w:rPr>
                <w:rFonts w:ascii="Arial" w:hAnsi="Arial" w:cs="Arial"/>
                <w:b/>
                <w:sz w:val="20"/>
                <w:szCs w:val="20"/>
              </w:rPr>
              <w:t>Total Recoverable</w:t>
            </w:r>
          </w:p>
        </w:tc>
      </w:tr>
      <w:tr w:rsidR="00B06F19" w14:paraId="547CFEB5" w14:textId="77777777">
        <w:tc>
          <w:tcPr>
            <w:tcW w:w="1695" w:type="dxa"/>
          </w:tcPr>
          <w:p w14:paraId="62FEF106" w14:textId="77777777" w:rsidR="00B06F19" w:rsidRDefault="009A2766">
            <w:pPr>
              <w:ind w:left="360"/>
              <w:rPr>
                <w:rFonts w:ascii="Arial" w:hAnsi="Arial" w:cs="Arial"/>
                <w:sz w:val="20"/>
                <w:szCs w:val="20"/>
              </w:rPr>
            </w:pPr>
            <w:r>
              <w:rPr>
                <w:rFonts w:ascii="Arial" w:hAnsi="Arial" w:cs="Arial"/>
                <w:sz w:val="20"/>
                <w:szCs w:val="20"/>
              </w:rPr>
              <w:t>Band A</w:t>
            </w:r>
          </w:p>
        </w:tc>
        <w:tc>
          <w:tcPr>
            <w:tcW w:w="3262" w:type="dxa"/>
          </w:tcPr>
          <w:p w14:paraId="6971685E" w14:textId="77777777" w:rsidR="00B06F19" w:rsidRDefault="009A2766">
            <w:pPr>
              <w:ind w:left="360"/>
              <w:rPr>
                <w:rFonts w:ascii="Arial" w:hAnsi="Arial" w:cs="Arial"/>
                <w:sz w:val="20"/>
                <w:szCs w:val="20"/>
              </w:rPr>
            </w:pPr>
            <w:r>
              <w:rPr>
                <w:rFonts w:ascii="Arial" w:hAnsi="Arial" w:cs="Arial"/>
                <w:sz w:val="20"/>
                <w:szCs w:val="20"/>
              </w:rPr>
              <w:t>Up to 10 Connections</w:t>
            </w:r>
          </w:p>
        </w:tc>
        <w:tc>
          <w:tcPr>
            <w:tcW w:w="1984" w:type="dxa"/>
          </w:tcPr>
          <w:p w14:paraId="3EBDBB49" w14:textId="77777777" w:rsidR="00B06F19" w:rsidRDefault="009A2766">
            <w:pPr>
              <w:ind w:left="360"/>
              <w:rPr>
                <w:rFonts w:ascii="Arial" w:hAnsi="Arial" w:cs="Arial"/>
                <w:sz w:val="20"/>
                <w:szCs w:val="20"/>
              </w:rPr>
            </w:pPr>
            <w:r>
              <w:rPr>
                <w:rFonts w:ascii="Arial" w:hAnsi="Arial" w:cs="Arial"/>
                <w:sz w:val="20"/>
                <w:szCs w:val="20"/>
              </w:rPr>
              <w:t>12,000</w:t>
            </w:r>
          </w:p>
        </w:tc>
        <w:tc>
          <w:tcPr>
            <w:tcW w:w="2069" w:type="dxa"/>
          </w:tcPr>
          <w:p w14:paraId="0FC6B0E5" w14:textId="77777777" w:rsidR="00B06F19" w:rsidRDefault="009A2766">
            <w:pPr>
              <w:ind w:left="360"/>
              <w:rPr>
                <w:rFonts w:ascii="Arial" w:hAnsi="Arial" w:cs="Arial"/>
                <w:sz w:val="20"/>
                <w:szCs w:val="20"/>
              </w:rPr>
            </w:pPr>
            <w:r>
              <w:rPr>
                <w:rFonts w:ascii="Arial" w:hAnsi="Arial" w:cs="Arial"/>
                <w:sz w:val="20"/>
                <w:szCs w:val="20"/>
              </w:rPr>
              <w:t>120,000</w:t>
            </w:r>
          </w:p>
        </w:tc>
      </w:tr>
      <w:tr w:rsidR="00B06F19" w14:paraId="757910C7" w14:textId="77777777">
        <w:tc>
          <w:tcPr>
            <w:tcW w:w="1695" w:type="dxa"/>
          </w:tcPr>
          <w:p w14:paraId="5A444476" w14:textId="77777777" w:rsidR="00B06F19" w:rsidRDefault="009A2766">
            <w:pPr>
              <w:ind w:left="360"/>
              <w:rPr>
                <w:rFonts w:ascii="Arial" w:hAnsi="Arial" w:cs="Arial"/>
                <w:sz w:val="20"/>
                <w:szCs w:val="20"/>
              </w:rPr>
            </w:pPr>
            <w:r>
              <w:rPr>
                <w:rFonts w:ascii="Arial" w:hAnsi="Arial" w:cs="Arial"/>
                <w:sz w:val="20"/>
                <w:szCs w:val="20"/>
              </w:rPr>
              <w:t>Band B</w:t>
            </w:r>
          </w:p>
        </w:tc>
        <w:tc>
          <w:tcPr>
            <w:tcW w:w="3262" w:type="dxa"/>
          </w:tcPr>
          <w:p w14:paraId="0803537D" w14:textId="77777777" w:rsidR="00B06F19" w:rsidRDefault="009A2766">
            <w:pPr>
              <w:ind w:left="360"/>
              <w:rPr>
                <w:rFonts w:ascii="Arial" w:hAnsi="Arial" w:cs="Arial"/>
                <w:sz w:val="20"/>
                <w:szCs w:val="20"/>
              </w:rPr>
            </w:pPr>
            <w:r>
              <w:rPr>
                <w:rFonts w:ascii="Arial" w:hAnsi="Arial" w:cs="Arial"/>
                <w:sz w:val="20"/>
                <w:szCs w:val="20"/>
              </w:rPr>
              <w:t xml:space="preserve">Between 11-20 Connections </w:t>
            </w:r>
          </w:p>
        </w:tc>
        <w:tc>
          <w:tcPr>
            <w:tcW w:w="1984" w:type="dxa"/>
          </w:tcPr>
          <w:p w14:paraId="02A6961D" w14:textId="77777777" w:rsidR="00B06F19" w:rsidRDefault="009A2766">
            <w:pPr>
              <w:ind w:left="360"/>
              <w:rPr>
                <w:rFonts w:ascii="Arial" w:hAnsi="Arial" w:cs="Arial"/>
                <w:sz w:val="20"/>
                <w:szCs w:val="20"/>
              </w:rPr>
            </w:pPr>
            <w:r>
              <w:rPr>
                <w:rFonts w:ascii="Arial" w:hAnsi="Arial" w:cs="Arial"/>
                <w:sz w:val="20"/>
                <w:szCs w:val="20"/>
              </w:rPr>
              <w:t>10,000</w:t>
            </w:r>
          </w:p>
        </w:tc>
        <w:tc>
          <w:tcPr>
            <w:tcW w:w="2069" w:type="dxa"/>
          </w:tcPr>
          <w:p w14:paraId="4BD996C0" w14:textId="77777777" w:rsidR="00B06F19" w:rsidRDefault="009A2766">
            <w:pPr>
              <w:ind w:left="360"/>
              <w:rPr>
                <w:rFonts w:ascii="Arial" w:hAnsi="Arial" w:cs="Arial"/>
                <w:sz w:val="20"/>
                <w:szCs w:val="20"/>
              </w:rPr>
            </w:pPr>
            <w:r>
              <w:rPr>
                <w:rFonts w:ascii="Arial" w:hAnsi="Arial" w:cs="Arial"/>
                <w:sz w:val="20"/>
                <w:szCs w:val="20"/>
              </w:rPr>
              <w:t>100,000</w:t>
            </w:r>
          </w:p>
        </w:tc>
      </w:tr>
      <w:tr w:rsidR="00B06F19" w14:paraId="2105737C" w14:textId="77777777">
        <w:tc>
          <w:tcPr>
            <w:tcW w:w="1695" w:type="dxa"/>
          </w:tcPr>
          <w:p w14:paraId="408588A5" w14:textId="77777777" w:rsidR="00B06F19" w:rsidRDefault="009A2766">
            <w:pPr>
              <w:ind w:left="360"/>
              <w:rPr>
                <w:rFonts w:ascii="Arial" w:hAnsi="Arial" w:cs="Arial"/>
                <w:sz w:val="20"/>
                <w:szCs w:val="20"/>
              </w:rPr>
            </w:pPr>
            <w:r>
              <w:rPr>
                <w:rFonts w:ascii="Arial" w:hAnsi="Arial" w:cs="Arial"/>
                <w:sz w:val="20"/>
                <w:szCs w:val="20"/>
              </w:rPr>
              <w:t>Band C</w:t>
            </w:r>
          </w:p>
        </w:tc>
        <w:tc>
          <w:tcPr>
            <w:tcW w:w="3262" w:type="dxa"/>
          </w:tcPr>
          <w:p w14:paraId="5DD80093" w14:textId="77777777" w:rsidR="00B06F19" w:rsidRDefault="009A2766">
            <w:pPr>
              <w:ind w:left="360"/>
              <w:rPr>
                <w:rFonts w:ascii="Arial" w:hAnsi="Arial" w:cs="Arial"/>
                <w:sz w:val="20"/>
                <w:szCs w:val="20"/>
              </w:rPr>
            </w:pPr>
            <w:r>
              <w:rPr>
                <w:rFonts w:ascii="Arial" w:hAnsi="Arial" w:cs="Arial"/>
                <w:sz w:val="20"/>
                <w:szCs w:val="20"/>
              </w:rPr>
              <w:t xml:space="preserve">Between 21-30 </w:t>
            </w:r>
            <w:r>
              <w:rPr>
                <w:rFonts w:ascii="Arial" w:hAnsi="Arial" w:cs="Arial"/>
                <w:sz w:val="20"/>
                <w:szCs w:val="20"/>
              </w:rPr>
              <w:t>Connections</w:t>
            </w:r>
          </w:p>
        </w:tc>
        <w:tc>
          <w:tcPr>
            <w:tcW w:w="1984" w:type="dxa"/>
          </w:tcPr>
          <w:p w14:paraId="429AF10D" w14:textId="77777777" w:rsidR="00B06F19" w:rsidRDefault="009A2766">
            <w:pPr>
              <w:ind w:left="360"/>
              <w:rPr>
                <w:rFonts w:ascii="Arial" w:hAnsi="Arial" w:cs="Arial"/>
                <w:sz w:val="20"/>
                <w:szCs w:val="20"/>
              </w:rPr>
            </w:pPr>
            <w:r>
              <w:rPr>
                <w:rFonts w:ascii="Arial" w:hAnsi="Arial" w:cs="Arial"/>
                <w:sz w:val="20"/>
                <w:szCs w:val="20"/>
              </w:rPr>
              <w:t>8,000</w:t>
            </w:r>
          </w:p>
        </w:tc>
        <w:tc>
          <w:tcPr>
            <w:tcW w:w="2069" w:type="dxa"/>
          </w:tcPr>
          <w:p w14:paraId="4D1E5DE8" w14:textId="77777777" w:rsidR="00B06F19" w:rsidRDefault="009A2766">
            <w:pPr>
              <w:ind w:left="360"/>
              <w:rPr>
                <w:rFonts w:ascii="Arial" w:hAnsi="Arial" w:cs="Arial"/>
                <w:sz w:val="20"/>
                <w:szCs w:val="20"/>
              </w:rPr>
            </w:pPr>
            <w:r>
              <w:rPr>
                <w:rFonts w:ascii="Arial" w:hAnsi="Arial" w:cs="Arial"/>
                <w:sz w:val="20"/>
                <w:szCs w:val="20"/>
              </w:rPr>
              <w:t>80,000</w:t>
            </w:r>
          </w:p>
        </w:tc>
      </w:tr>
      <w:tr w:rsidR="00B06F19" w14:paraId="07125045" w14:textId="77777777">
        <w:tc>
          <w:tcPr>
            <w:tcW w:w="1695" w:type="dxa"/>
          </w:tcPr>
          <w:p w14:paraId="692C2C98" w14:textId="77777777" w:rsidR="00B06F19" w:rsidRDefault="009A2766">
            <w:pPr>
              <w:ind w:left="360"/>
              <w:rPr>
                <w:rFonts w:ascii="Arial" w:hAnsi="Arial" w:cs="Arial"/>
                <w:sz w:val="20"/>
                <w:szCs w:val="20"/>
              </w:rPr>
            </w:pPr>
            <w:r>
              <w:rPr>
                <w:rFonts w:ascii="Arial" w:hAnsi="Arial" w:cs="Arial"/>
                <w:sz w:val="20"/>
                <w:szCs w:val="20"/>
              </w:rPr>
              <w:t>Band D</w:t>
            </w:r>
          </w:p>
        </w:tc>
        <w:tc>
          <w:tcPr>
            <w:tcW w:w="3262" w:type="dxa"/>
          </w:tcPr>
          <w:p w14:paraId="5EB7A72C" w14:textId="77777777" w:rsidR="00B06F19" w:rsidRDefault="009A2766">
            <w:pPr>
              <w:ind w:left="360"/>
              <w:rPr>
                <w:rFonts w:ascii="Arial" w:hAnsi="Arial" w:cs="Arial"/>
                <w:sz w:val="20"/>
                <w:szCs w:val="20"/>
              </w:rPr>
            </w:pPr>
            <w:r>
              <w:rPr>
                <w:rFonts w:ascii="Arial" w:hAnsi="Arial" w:cs="Arial"/>
                <w:sz w:val="20"/>
                <w:szCs w:val="20"/>
              </w:rPr>
              <w:t>Between 31-40 Connections</w:t>
            </w:r>
          </w:p>
        </w:tc>
        <w:tc>
          <w:tcPr>
            <w:tcW w:w="1984" w:type="dxa"/>
          </w:tcPr>
          <w:p w14:paraId="469528A9" w14:textId="77777777" w:rsidR="00B06F19" w:rsidRDefault="009A2766">
            <w:pPr>
              <w:ind w:left="360"/>
              <w:rPr>
                <w:rFonts w:ascii="Arial" w:hAnsi="Arial" w:cs="Arial"/>
                <w:sz w:val="20"/>
                <w:szCs w:val="20"/>
              </w:rPr>
            </w:pPr>
            <w:r>
              <w:rPr>
                <w:rFonts w:ascii="Arial" w:hAnsi="Arial" w:cs="Arial"/>
                <w:sz w:val="20"/>
                <w:szCs w:val="20"/>
              </w:rPr>
              <w:t>6,000</w:t>
            </w:r>
          </w:p>
        </w:tc>
        <w:tc>
          <w:tcPr>
            <w:tcW w:w="2069" w:type="dxa"/>
          </w:tcPr>
          <w:p w14:paraId="6345C7E4" w14:textId="77777777" w:rsidR="00B06F19" w:rsidRDefault="009A2766">
            <w:pPr>
              <w:ind w:left="360"/>
              <w:rPr>
                <w:rFonts w:ascii="Arial" w:hAnsi="Arial" w:cs="Arial"/>
                <w:sz w:val="20"/>
                <w:szCs w:val="20"/>
              </w:rPr>
            </w:pPr>
            <w:r>
              <w:rPr>
                <w:rFonts w:ascii="Arial" w:hAnsi="Arial" w:cs="Arial"/>
                <w:sz w:val="20"/>
                <w:szCs w:val="20"/>
              </w:rPr>
              <w:t>60,000</w:t>
            </w:r>
          </w:p>
        </w:tc>
      </w:tr>
      <w:tr w:rsidR="00B06F19" w14:paraId="303D6191" w14:textId="77777777">
        <w:tc>
          <w:tcPr>
            <w:tcW w:w="1695" w:type="dxa"/>
          </w:tcPr>
          <w:p w14:paraId="649E23C2" w14:textId="77777777" w:rsidR="00B06F19" w:rsidRDefault="009A2766">
            <w:pPr>
              <w:ind w:left="360"/>
              <w:rPr>
                <w:rFonts w:ascii="Arial" w:hAnsi="Arial" w:cs="Arial"/>
                <w:sz w:val="20"/>
                <w:szCs w:val="20"/>
              </w:rPr>
            </w:pPr>
            <w:r>
              <w:rPr>
                <w:rFonts w:ascii="Arial" w:hAnsi="Arial" w:cs="Arial"/>
                <w:sz w:val="20"/>
                <w:szCs w:val="20"/>
              </w:rPr>
              <w:t>Band E</w:t>
            </w:r>
          </w:p>
        </w:tc>
        <w:tc>
          <w:tcPr>
            <w:tcW w:w="3262" w:type="dxa"/>
          </w:tcPr>
          <w:p w14:paraId="21CEA843" w14:textId="77777777" w:rsidR="00B06F19" w:rsidRDefault="009A2766">
            <w:pPr>
              <w:ind w:left="360"/>
              <w:rPr>
                <w:rFonts w:ascii="Arial" w:hAnsi="Arial" w:cs="Arial"/>
                <w:sz w:val="20"/>
                <w:szCs w:val="20"/>
              </w:rPr>
            </w:pPr>
            <w:r>
              <w:rPr>
                <w:rFonts w:ascii="Arial" w:hAnsi="Arial" w:cs="Arial"/>
                <w:sz w:val="20"/>
                <w:szCs w:val="20"/>
              </w:rPr>
              <w:t>Between 41-50 Connections</w:t>
            </w:r>
          </w:p>
        </w:tc>
        <w:tc>
          <w:tcPr>
            <w:tcW w:w="1984" w:type="dxa"/>
          </w:tcPr>
          <w:p w14:paraId="1019E391" w14:textId="77777777" w:rsidR="00B06F19" w:rsidRDefault="009A2766">
            <w:pPr>
              <w:ind w:left="360"/>
              <w:rPr>
                <w:rFonts w:ascii="Arial" w:hAnsi="Arial" w:cs="Arial"/>
                <w:sz w:val="20"/>
                <w:szCs w:val="20"/>
              </w:rPr>
            </w:pPr>
            <w:r>
              <w:rPr>
                <w:rFonts w:ascii="Arial" w:hAnsi="Arial" w:cs="Arial"/>
                <w:sz w:val="20"/>
                <w:szCs w:val="20"/>
              </w:rPr>
              <w:t>4,000</w:t>
            </w:r>
          </w:p>
        </w:tc>
        <w:tc>
          <w:tcPr>
            <w:tcW w:w="2069" w:type="dxa"/>
          </w:tcPr>
          <w:p w14:paraId="4C3BE141" w14:textId="77777777" w:rsidR="00B06F19" w:rsidRDefault="009A2766">
            <w:pPr>
              <w:ind w:left="360"/>
              <w:rPr>
                <w:rFonts w:ascii="Arial" w:hAnsi="Arial" w:cs="Arial"/>
                <w:sz w:val="20"/>
                <w:szCs w:val="20"/>
              </w:rPr>
            </w:pPr>
            <w:r>
              <w:rPr>
                <w:rFonts w:ascii="Arial" w:hAnsi="Arial" w:cs="Arial"/>
                <w:sz w:val="20"/>
                <w:szCs w:val="20"/>
              </w:rPr>
              <w:t>40,000</w:t>
            </w:r>
          </w:p>
        </w:tc>
      </w:tr>
      <w:tr w:rsidR="00B06F19" w14:paraId="68E8112C" w14:textId="77777777">
        <w:tc>
          <w:tcPr>
            <w:tcW w:w="1695" w:type="dxa"/>
          </w:tcPr>
          <w:p w14:paraId="3DD4C12E" w14:textId="77777777" w:rsidR="00B06F19" w:rsidRDefault="009A2766">
            <w:pPr>
              <w:ind w:left="360"/>
              <w:rPr>
                <w:rFonts w:ascii="Arial" w:hAnsi="Arial" w:cs="Arial"/>
                <w:sz w:val="20"/>
                <w:szCs w:val="20"/>
              </w:rPr>
            </w:pPr>
            <w:r>
              <w:rPr>
                <w:rFonts w:ascii="Arial" w:hAnsi="Arial" w:cs="Arial"/>
                <w:sz w:val="20"/>
                <w:szCs w:val="20"/>
              </w:rPr>
              <w:t>Band F</w:t>
            </w:r>
          </w:p>
        </w:tc>
        <w:tc>
          <w:tcPr>
            <w:tcW w:w="3262" w:type="dxa"/>
          </w:tcPr>
          <w:p w14:paraId="2603E2D2" w14:textId="77777777" w:rsidR="00B06F19" w:rsidRDefault="009A2766">
            <w:pPr>
              <w:ind w:left="360"/>
              <w:rPr>
                <w:rFonts w:ascii="Arial" w:hAnsi="Arial" w:cs="Arial"/>
                <w:sz w:val="20"/>
                <w:szCs w:val="20"/>
              </w:rPr>
            </w:pPr>
            <w:r>
              <w:rPr>
                <w:rFonts w:ascii="Arial" w:hAnsi="Arial" w:cs="Arial"/>
                <w:sz w:val="20"/>
                <w:szCs w:val="20"/>
              </w:rPr>
              <w:t>Between 51-100 Connections</w:t>
            </w:r>
          </w:p>
        </w:tc>
        <w:tc>
          <w:tcPr>
            <w:tcW w:w="1984" w:type="dxa"/>
          </w:tcPr>
          <w:p w14:paraId="7E215559" w14:textId="77777777" w:rsidR="00B06F19" w:rsidRDefault="009A2766">
            <w:pPr>
              <w:ind w:left="360"/>
              <w:rPr>
                <w:rFonts w:ascii="Arial" w:hAnsi="Arial" w:cs="Arial"/>
                <w:sz w:val="20"/>
                <w:szCs w:val="20"/>
              </w:rPr>
            </w:pPr>
            <w:r>
              <w:rPr>
                <w:rFonts w:ascii="Arial" w:hAnsi="Arial" w:cs="Arial"/>
                <w:sz w:val="20"/>
                <w:szCs w:val="20"/>
              </w:rPr>
              <w:t>2,000</w:t>
            </w:r>
          </w:p>
        </w:tc>
        <w:tc>
          <w:tcPr>
            <w:tcW w:w="2069" w:type="dxa"/>
          </w:tcPr>
          <w:p w14:paraId="5FD426F9" w14:textId="77777777" w:rsidR="00B06F19" w:rsidRDefault="009A2766">
            <w:pPr>
              <w:ind w:left="360"/>
              <w:rPr>
                <w:rFonts w:ascii="Arial" w:hAnsi="Arial" w:cs="Arial"/>
                <w:sz w:val="20"/>
                <w:szCs w:val="20"/>
              </w:rPr>
            </w:pPr>
            <w:r>
              <w:rPr>
                <w:rFonts w:ascii="Arial" w:hAnsi="Arial" w:cs="Arial"/>
                <w:sz w:val="20"/>
                <w:szCs w:val="20"/>
              </w:rPr>
              <w:t>100,000</w:t>
            </w:r>
          </w:p>
        </w:tc>
      </w:tr>
      <w:tr w:rsidR="00B06F19" w14:paraId="4ABB684D" w14:textId="77777777">
        <w:tc>
          <w:tcPr>
            <w:tcW w:w="1695" w:type="dxa"/>
          </w:tcPr>
          <w:p w14:paraId="29E7A259" w14:textId="77777777" w:rsidR="00B06F19" w:rsidRDefault="009A2766">
            <w:pPr>
              <w:ind w:left="360"/>
              <w:rPr>
                <w:rFonts w:ascii="Arial" w:hAnsi="Arial" w:cs="Arial"/>
                <w:sz w:val="20"/>
                <w:szCs w:val="20"/>
              </w:rPr>
            </w:pPr>
            <w:r>
              <w:rPr>
                <w:rFonts w:ascii="Arial" w:hAnsi="Arial" w:cs="Arial"/>
                <w:sz w:val="20"/>
                <w:szCs w:val="20"/>
              </w:rPr>
              <w:t>Band G</w:t>
            </w:r>
          </w:p>
        </w:tc>
        <w:tc>
          <w:tcPr>
            <w:tcW w:w="3262" w:type="dxa"/>
          </w:tcPr>
          <w:p w14:paraId="364BF03F" w14:textId="77777777" w:rsidR="00B06F19" w:rsidRDefault="009A2766">
            <w:pPr>
              <w:ind w:left="360"/>
              <w:rPr>
                <w:rFonts w:ascii="Arial" w:hAnsi="Arial" w:cs="Arial"/>
                <w:sz w:val="20"/>
                <w:szCs w:val="20"/>
              </w:rPr>
            </w:pPr>
            <w:r>
              <w:rPr>
                <w:rFonts w:ascii="Arial" w:hAnsi="Arial" w:cs="Arial"/>
                <w:sz w:val="20"/>
                <w:szCs w:val="20"/>
              </w:rPr>
              <w:t>Over 100 Connections</w:t>
            </w:r>
          </w:p>
        </w:tc>
        <w:tc>
          <w:tcPr>
            <w:tcW w:w="1984" w:type="dxa"/>
          </w:tcPr>
          <w:p w14:paraId="1A4C7868" w14:textId="77777777" w:rsidR="00B06F19" w:rsidRDefault="009A2766">
            <w:pPr>
              <w:ind w:left="360"/>
              <w:rPr>
                <w:rFonts w:ascii="Arial" w:hAnsi="Arial" w:cs="Arial"/>
                <w:sz w:val="20"/>
                <w:szCs w:val="20"/>
              </w:rPr>
            </w:pPr>
            <w:r>
              <w:rPr>
                <w:rFonts w:ascii="Arial" w:hAnsi="Arial" w:cs="Arial"/>
                <w:sz w:val="20"/>
                <w:szCs w:val="20"/>
              </w:rPr>
              <w:t>1,000</w:t>
            </w:r>
          </w:p>
        </w:tc>
        <w:tc>
          <w:tcPr>
            <w:tcW w:w="2069" w:type="dxa"/>
          </w:tcPr>
          <w:p w14:paraId="02B3E741" w14:textId="77777777" w:rsidR="00B06F19" w:rsidRDefault="009A2766">
            <w:pPr>
              <w:ind w:left="360"/>
              <w:rPr>
                <w:rFonts w:ascii="Arial" w:hAnsi="Arial" w:cs="Arial"/>
                <w:sz w:val="20"/>
                <w:szCs w:val="20"/>
              </w:rPr>
            </w:pPr>
            <w:r>
              <w:rPr>
                <w:rFonts w:ascii="Arial" w:hAnsi="Arial" w:cs="Arial"/>
                <w:sz w:val="20"/>
                <w:szCs w:val="20"/>
              </w:rPr>
              <w:t>-</w:t>
            </w:r>
          </w:p>
        </w:tc>
      </w:tr>
    </w:tbl>
    <w:p w14:paraId="129D3AF4" w14:textId="77777777" w:rsidR="00B06F19" w:rsidRDefault="00B06F19">
      <w:pPr>
        <w:rPr>
          <w:rFonts w:ascii="Arial" w:hAnsi="Arial" w:cs="Arial"/>
          <w:color w:val="000000" w:themeColor="text1"/>
          <w:sz w:val="20"/>
          <w:szCs w:val="20"/>
        </w:rPr>
      </w:pPr>
    </w:p>
    <w:p w14:paraId="34EB591D"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For the avoidance of doubt, support costs in relation to Interface Services provided are not separately chargeable and are to be provided by the Interface Service provider within the scope of the Periodic Service Charge. </w:t>
      </w:r>
    </w:p>
    <w:p w14:paraId="43C68966"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Charges are to be invoiced:</w:t>
      </w:r>
    </w:p>
    <w:p w14:paraId="3291DC0E" w14:textId="77777777" w:rsidR="00B06F19" w:rsidRDefault="009A2766">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monthly in arrears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_Ref8215889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6</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or </w:t>
      </w:r>
    </w:p>
    <w:p w14:paraId="20B3E24D" w14:textId="77777777" w:rsidR="00B06F19" w:rsidRDefault="009A2766">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annually in advance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_Ref8215899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7</w:t>
      </w:r>
      <w:r>
        <w:rPr>
          <w:rFonts w:ascii="Arial" w:hAnsi="Arial" w:cs="Arial"/>
          <w:color w:val="000000" w:themeColor="text1"/>
          <w:sz w:val="20"/>
          <w:szCs w:val="20"/>
        </w:rPr>
        <w:fldChar w:fldCharType="end"/>
      </w:r>
      <w:r>
        <w:rPr>
          <w:rFonts w:ascii="Arial" w:hAnsi="Arial" w:cs="Arial"/>
          <w:color w:val="000000" w:themeColor="text1"/>
          <w:sz w:val="20"/>
          <w:szCs w:val="20"/>
        </w:rPr>
        <w:t>), from the first anniversary of the Connection Go Live Date or the Framework Commencement Date, whichever is the later;</w:t>
      </w:r>
    </w:p>
    <w:p w14:paraId="2FFD55F3" w14:textId="77777777" w:rsidR="00B06F19" w:rsidRDefault="009A2766">
      <w:pPr>
        <w:spacing w:after="240"/>
        <w:ind w:left="720"/>
        <w:rPr>
          <w:rFonts w:ascii="Arial" w:hAnsi="Arial" w:cs="Arial"/>
          <w:color w:val="000000" w:themeColor="text1"/>
          <w:sz w:val="20"/>
          <w:szCs w:val="20"/>
        </w:rPr>
      </w:pPr>
      <w:r>
        <w:rPr>
          <w:rFonts w:ascii="Arial" w:hAnsi="Arial" w:cs="Arial"/>
          <w:color w:val="000000" w:themeColor="text1"/>
          <w:sz w:val="20"/>
          <w:szCs w:val="20"/>
        </w:rPr>
        <w:t>either to:</w:t>
      </w:r>
    </w:p>
    <w:p w14:paraId="24D72B0A" w14:textId="77777777" w:rsidR="00B06F19" w:rsidRDefault="009A2766">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the Framework Authority (where the relevant declaration has been signed as per the Model</w:t>
      </w:r>
      <w:r>
        <w:rPr>
          <w:rFonts w:ascii="Arial" w:hAnsi="Arial" w:cs="Arial"/>
          <w:color w:val="000000" w:themeColor="text1"/>
          <w:sz w:val="20"/>
          <w:szCs w:val="20"/>
        </w:rPr>
        <w:t xml:space="preserve"> Interface Licence); or </w:t>
      </w:r>
    </w:p>
    <w:p w14:paraId="6D9AD75A" w14:textId="77777777" w:rsidR="00B06F19" w:rsidRDefault="009A2766">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the Consumer Supplier.</w:t>
      </w:r>
    </w:p>
    <w:p w14:paraId="684484CA"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From time to time a Framework Authority who has agreed to pay Interface Service costs (as described in section C of the Commercial Standard) directly may seek to validate transactional volumes via audit right</w:t>
      </w:r>
      <w:r>
        <w:rPr>
          <w:rFonts w:ascii="Arial" w:hAnsi="Arial" w:cs="Arial"/>
          <w:color w:val="000000" w:themeColor="text1"/>
          <w:sz w:val="20"/>
          <w:szCs w:val="20"/>
        </w:rPr>
        <w:t xml:space="preserve">s under the terms of the relevant Framework </w:t>
      </w:r>
      <w:r>
        <w:rPr>
          <w:rFonts w:ascii="Arial" w:hAnsi="Arial" w:cs="Arial"/>
          <w:sz w:val="20"/>
          <w:szCs w:val="20"/>
        </w:rPr>
        <w:t>Agreement.</w:t>
      </w:r>
    </w:p>
    <w:p w14:paraId="27A72535" w14:textId="77777777" w:rsidR="00B06F19" w:rsidRDefault="009A2766">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above arrangements will apply in relation to any Interface Services that fit the criteria to be chargeable under the terms of the Commercial Standard</w:t>
      </w:r>
      <w:r>
        <w:rPr>
          <w:rFonts w:ascii="Arial" w:hAnsi="Arial" w:cs="Arial"/>
          <w:sz w:val="20"/>
          <w:szCs w:val="20"/>
        </w:rPr>
        <w:t>. For the avoidance of doubt where, i) Interface</w:t>
      </w:r>
      <w:r>
        <w:rPr>
          <w:rFonts w:ascii="Arial" w:hAnsi="Arial" w:cs="Arial"/>
          <w:sz w:val="20"/>
          <w:szCs w:val="20"/>
        </w:rPr>
        <w:t>s supplied under the Interoperability Standard are not deemed chargeable in accordance with the rules set out in section C of the Commercial Standard, or ii) specific Interfaces are subject to restraints against recovery outside of the Periodic Service Cha</w:t>
      </w:r>
      <w:r>
        <w:rPr>
          <w:rFonts w:ascii="Arial" w:hAnsi="Arial" w:cs="Arial"/>
          <w:sz w:val="20"/>
          <w:szCs w:val="20"/>
        </w:rPr>
        <w:t>rge as a result of the application of the Commercial Standard, then a Supplier shall not be entitled to seek payment.  Any Supplier who is found to be requesting payment from any third party in respect of Interfaces which are commercially restrained in thi</w:t>
      </w:r>
      <w:r>
        <w:rPr>
          <w:rFonts w:ascii="Arial" w:hAnsi="Arial" w:cs="Arial"/>
          <w:sz w:val="20"/>
          <w:szCs w:val="20"/>
        </w:rPr>
        <w:t>s manner will be considered to be in breach of the Commercial Standard.</w:t>
      </w:r>
    </w:p>
    <w:p w14:paraId="524B2457" w14:textId="77777777" w:rsidR="00B06F19" w:rsidRDefault="00B06F19">
      <w:pPr>
        <w:rPr>
          <w:rFonts w:ascii="Arial" w:eastAsia="Times New Roman" w:hAnsi="Arial" w:cs="Arial"/>
          <w:color w:val="212121"/>
          <w:sz w:val="20"/>
          <w:szCs w:val="20"/>
        </w:rPr>
      </w:pPr>
    </w:p>
    <w:p w14:paraId="27BDFF64" w14:textId="77777777" w:rsidR="00B06F19" w:rsidRDefault="009A2766">
      <w:pPr>
        <w:jc w:val="center"/>
        <w:rPr>
          <w:rFonts w:ascii="Arial" w:eastAsia="Times New Roman" w:hAnsi="Arial" w:cs="Arial"/>
          <w:b/>
          <w:color w:val="212121"/>
          <w:sz w:val="20"/>
          <w:szCs w:val="20"/>
        </w:rPr>
      </w:pPr>
      <w:r>
        <w:rPr>
          <w:rFonts w:ascii="Arial" w:eastAsia="Times New Roman" w:hAnsi="Arial" w:cs="Arial"/>
          <w:color w:val="212121"/>
          <w:sz w:val="20"/>
          <w:szCs w:val="20"/>
        </w:rPr>
        <w:br w:type="page"/>
      </w:r>
      <w:r>
        <w:rPr>
          <w:rFonts w:ascii="Arial" w:eastAsia="Times New Roman" w:hAnsi="Arial" w:cs="Arial"/>
          <w:b/>
          <w:color w:val="212121"/>
          <w:sz w:val="20"/>
          <w:szCs w:val="20"/>
        </w:rPr>
        <w:lastRenderedPageBreak/>
        <w:t>Annex 2</w:t>
      </w:r>
    </w:p>
    <w:p w14:paraId="3EFB5461" w14:textId="77777777" w:rsidR="00B06F19" w:rsidRDefault="00B06F19">
      <w:pPr>
        <w:rPr>
          <w:rFonts w:ascii="Arial" w:eastAsia="Times New Roman" w:hAnsi="Arial" w:cs="Arial"/>
          <w:color w:val="212121"/>
          <w:sz w:val="20"/>
          <w:szCs w:val="20"/>
          <w:u w:val="single"/>
        </w:rPr>
      </w:pPr>
    </w:p>
    <w:p w14:paraId="4AE0D7CB" w14:textId="77777777" w:rsidR="00B06F19" w:rsidRDefault="009A2766">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Table of Standard Data Flows</w:t>
      </w:r>
    </w:p>
    <w:p w14:paraId="2EC35652" w14:textId="77777777" w:rsidR="00B06F19" w:rsidRDefault="00B06F19">
      <w:pPr>
        <w:rPr>
          <w:rFonts w:ascii="Arial" w:eastAsia="Times New Roman" w:hAnsi="Arial" w:cs="Arial"/>
          <w:color w:val="212121"/>
          <w:sz w:val="20"/>
          <w:szCs w:val="20"/>
        </w:rPr>
      </w:pPr>
    </w:p>
    <w:p w14:paraId="16D35DE2" w14:textId="77777777" w:rsidR="00B06F19" w:rsidRDefault="009A2766">
      <w:p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 Standard Data Flow is any transmission of information or data that NHS England or NHS Digital or the Department of Health and Social Care </w:t>
      </w:r>
      <w:r>
        <w:rPr>
          <w:rFonts w:ascii="Arial" w:eastAsia="Times New Roman" w:hAnsi="Arial" w:cs="Arial"/>
          <w:color w:val="212121"/>
          <w:sz w:val="20"/>
          <w:szCs w:val="20"/>
        </w:rPr>
        <w:t>has specifically mandated that its providers deliver, either to a central processing body or to any other defined party (i.e. a CCG or regional group with implemented Local Health and Care Record Exemplars</w:t>
      </w:r>
      <w:r>
        <w:rPr>
          <w:rFonts w:ascii="Arial" w:hAnsi="Arial" w:cs="Arial"/>
          <w:color w:val="333333"/>
          <w:sz w:val="20"/>
          <w:szCs w:val="20"/>
        </w:rPr>
        <w:t xml:space="preserve"> (</w:t>
      </w:r>
      <w:r>
        <w:rPr>
          <w:rFonts w:ascii="Arial" w:eastAsia="Times New Roman" w:hAnsi="Arial" w:cs="Arial"/>
          <w:color w:val="212121"/>
          <w:sz w:val="20"/>
          <w:szCs w:val="20"/>
        </w:rPr>
        <w:t>LCHREs) provision).  NHS England may use multiple</w:t>
      </w:r>
      <w:r>
        <w:rPr>
          <w:rFonts w:ascii="Arial" w:eastAsia="Times New Roman" w:hAnsi="Arial" w:cs="Arial"/>
          <w:color w:val="212121"/>
          <w:sz w:val="20"/>
          <w:szCs w:val="20"/>
        </w:rPr>
        <w:t xml:space="preserve"> means by which to mandate these dataflows, for instance via contractual reporting obligations within provider contracts or information standards notices (ISNs).</w:t>
      </w:r>
    </w:p>
    <w:p w14:paraId="45C575A0" w14:textId="77777777" w:rsidR="00B06F19" w:rsidRDefault="00B06F19">
      <w:pPr>
        <w:jc w:val="both"/>
        <w:rPr>
          <w:rFonts w:ascii="Arial" w:eastAsia="Times New Roman" w:hAnsi="Arial" w:cs="Arial"/>
          <w:color w:val="212121"/>
          <w:sz w:val="20"/>
          <w:szCs w:val="20"/>
        </w:rPr>
      </w:pPr>
    </w:p>
    <w:p w14:paraId="433E62C0" w14:textId="77777777" w:rsidR="00B06F19" w:rsidRDefault="009A2766">
      <w:pPr>
        <w:jc w:val="both"/>
        <w:rPr>
          <w:rFonts w:ascii="Arial" w:eastAsia="Times New Roman" w:hAnsi="Arial" w:cs="Arial"/>
          <w:color w:val="212121"/>
          <w:sz w:val="20"/>
          <w:szCs w:val="20"/>
        </w:rPr>
      </w:pPr>
      <w:r>
        <w:rPr>
          <w:rFonts w:ascii="Arial" w:eastAsia="Times New Roman" w:hAnsi="Arial" w:cs="Arial"/>
          <w:color w:val="212121"/>
          <w:sz w:val="20"/>
          <w:szCs w:val="20"/>
        </w:rPr>
        <w:t>This table displays a list of those flows currently mandated and in force, plus those which a</w:t>
      </w:r>
      <w:r>
        <w:rPr>
          <w:rFonts w:ascii="Arial" w:eastAsia="Times New Roman" w:hAnsi="Arial" w:cs="Arial"/>
          <w:color w:val="212121"/>
          <w:sz w:val="20"/>
          <w:szCs w:val="20"/>
        </w:rPr>
        <w:t>re under active consideration for future mandation.</w:t>
      </w:r>
    </w:p>
    <w:p w14:paraId="4B5F419B" w14:textId="77777777" w:rsidR="00B06F19" w:rsidRDefault="00B06F19">
      <w:pPr>
        <w:rPr>
          <w:rFonts w:ascii="Arial" w:eastAsia="Times New Roman" w:hAnsi="Arial" w:cs="Arial"/>
          <w:color w:val="212121"/>
          <w:sz w:val="20"/>
          <w:szCs w:val="20"/>
        </w:rPr>
      </w:pPr>
    </w:p>
    <w:tbl>
      <w:tblPr>
        <w:tblStyle w:val="TableGrid"/>
        <w:tblW w:w="0" w:type="auto"/>
        <w:tblLook w:val="04A0" w:firstRow="1" w:lastRow="0" w:firstColumn="1" w:lastColumn="0" w:noHBand="0" w:noVBand="1"/>
      </w:tblPr>
      <w:tblGrid>
        <w:gridCol w:w="959"/>
        <w:gridCol w:w="5198"/>
        <w:gridCol w:w="3079"/>
      </w:tblGrid>
      <w:tr w:rsidR="00B06F19" w14:paraId="64D81875" w14:textId="77777777">
        <w:tc>
          <w:tcPr>
            <w:tcW w:w="959" w:type="dxa"/>
          </w:tcPr>
          <w:p w14:paraId="2064B9B1"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Item Name</w:t>
            </w:r>
          </w:p>
        </w:tc>
        <w:tc>
          <w:tcPr>
            <w:tcW w:w="5204" w:type="dxa"/>
          </w:tcPr>
          <w:p w14:paraId="533481BC"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Description &amp; References</w:t>
            </w:r>
          </w:p>
        </w:tc>
        <w:tc>
          <w:tcPr>
            <w:tcW w:w="3082" w:type="dxa"/>
          </w:tcPr>
          <w:p w14:paraId="2061D93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Status</w:t>
            </w:r>
          </w:p>
        </w:tc>
      </w:tr>
      <w:tr w:rsidR="00B06F19" w14:paraId="1809A885" w14:textId="77777777">
        <w:tc>
          <w:tcPr>
            <w:tcW w:w="9245" w:type="dxa"/>
            <w:gridSpan w:val="3"/>
          </w:tcPr>
          <w:p w14:paraId="512F20C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In Force</w:t>
            </w:r>
          </w:p>
        </w:tc>
      </w:tr>
      <w:tr w:rsidR="00B06F19" w14:paraId="2F7A726E" w14:textId="77777777">
        <w:tc>
          <w:tcPr>
            <w:tcW w:w="959" w:type="dxa"/>
          </w:tcPr>
          <w:p w14:paraId="4592C691" w14:textId="77777777" w:rsidR="00B06F19" w:rsidRDefault="00B06F19">
            <w:pPr>
              <w:rPr>
                <w:rFonts w:ascii="Arial" w:eastAsia="Times New Roman" w:hAnsi="Arial" w:cs="Arial"/>
                <w:color w:val="212121"/>
                <w:sz w:val="20"/>
                <w:szCs w:val="20"/>
              </w:rPr>
            </w:pPr>
          </w:p>
        </w:tc>
        <w:tc>
          <w:tcPr>
            <w:tcW w:w="5204" w:type="dxa"/>
          </w:tcPr>
          <w:p w14:paraId="2AD870C2" w14:textId="77777777" w:rsidR="00B06F19" w:rsidRDefault="00B06F19">
            <w:pPr>
              <w:rPr>
                <w:rFonts w:ascii="Arial" w:eastAsia="Times New Roman" w:hAnsi="Arial" w:cs="Arial"/>
                <w:color w:val="212121"/>
                <w:sz w:val="20"/>
                <w:szCs w:val="20"/>
              </w:rPr>
            </w:pPr>
          </w:p>
        </w:tc>
        <w:tc>
          <w:tcPr>
            <w:tcW w:w="3082" w:type="dxa"/>
          </w:tcPr>
          <w:p w14:paraId="4C6A9246" w14:textId="77777777" w:rsidR="00B06F19" w:rsidRDefault="00B06F19">
            <w:pPr>
              <w:rPr>
                <w:rFonts w:ascii="Arial" w:eastAsia="Times New Roman" w:hAnsi="Arial" w:cs="Arial"/>
                <w:color w:val="212121"/>
                <w:sz w:val="20"/>
                <w:szCs w:val="20"/>
              </w:rPr>
            </w:pPr>
          </w:p>
        </w:tc>
      </w:tr>
      <w:tr w:rsidR="00B06F19" w14:paraId="51612287" w14:textId="77777777">
        <w:tc>
          <w:tcPr>
            <w:tcW w:w="959" w:type="dxa"/>
          </w:tcPr>
          <w:p w14:paraId="0784A820" w14:textId="77777777" w:rsidR="00B06F19" w:rsidRDefault="00B06F19">
            <w:pPr>
              <w:rPr>
                <w:rFonts w:ascii="Arial" w:eastAsia="Times New Roman" w:hAnsi="Arial" w:cs="Arial"/>
                <w:color w:val="212121"/>
                <w:sz w:val="20"/>
                <w:szCs w:val="20"/>
              </w:rPr>
            </w:pPr>
          </w:p>
        </w:tc>
        <w:tc>
          <w:tcPr>
            <w:tcW w:w="5204" w:type="dxa"/>
          </w:tcPr>
          <w:p w14:paraId="07329604" w14:textId="77777777" w:rsidR="00B06F19" w:rsidRDefault="00B06F19">
            <w:pPr>
              <w:rPr>
                <w:rFonts w:ascii="Arial" w:eastAsia="Times New Roman" w:hAnsi="Arial" w:cs="Arial"/>
                <w:color w:val="212121"/>
                <w:sz w:val="20"/>
                <w:szCs w:val="20"/>
              </w:rPr>
            </w:pPr>
          </w:p>
        </w:tc>
        <w:tc>
          <w:tcPr>
            <w:tcW w:w="3082" w:type="dxa"/>
          </w:tcPr>
          <w:p w14:paraId="3AB1C862" w14:textId="77777777" w:rsidR="00B06F19" w:rsidRDefault="00B06F19">
            <w:pPr>
              <w:rPr>
                <w:rFonts w:ascii="Arial" w:eastAsia="Times New Roman" w:hAnsi="Arial" w:cs="Arial"/>
                <w:color w:val="212121"/>
                <w:sz w:val="20"/>
                <w:szCs w:val="20"/>
              </w:rPr>
            </w:pPr>
          </w:p>
        </w:tc>
      </w:tr>
      <w:tr w:rsidR="00B06F19" w14:paraId="5C377B5A" w14:textId="77777777">
        <w:tc>
          <w:tcPr>
            <w:tcW w:w="9245" w:type="dxa"/>
            <w:gridSpan w:val="3"/>
          </w:tcPr>
          <w:p w14:paraId="16768776"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Future Forecast</w:t>
            </w:r>
          </w:p>
        </w:tc>
      </w:tr>
      <w:tr w:rsidR="00B06F19" w14:paraId="25104D8C" w14:textId="77777777">
        <w:tc>
          <w:tcPr>
            <w:tcW w:w="959" w:type="dxa"/>
          </w:tcPr>
          <w:p w14:paraId="57842275" w14:textId="77777777" w:rsidR="00B06F19" w:rsidRDefault="00B06F19">
            <w:pPr>
              <w:rPr>
                <w:rFonts w:ascii="Arial" w:eastAsia="Times New Roman" w:hAnsi="Arial" w:cs="Arial"/>
                <w:color w:val="212121"/>
                <w:sz w:val="20"/>
                <w:szCs w:val="20"/>
              </w:rPr>
            </w:pPr>
          </w:p>
        </w:tc>
        <w:tc>
          <w:tcPr>
            <w:tcW w:w="5204" w:type="dxa"/>
          </w:tcPr>
          <w:p w14:paraId="032AB887" w14:textId="77777777" w:rsidR="00B06F19" w:rsidRDefault="00B06F19">
            <w:pPr>
              <w:rPr>
                <w:rFonts w:ascii="Arial" w:eastAsia="Times New Roman" w:hAnsi="Arial" w:cs="Arial"/>
                <w:color w:val="212121"/>
                <w:sz w:val="20"/>
                <w:szCs w:val="20"/>
              </w:rPr>
            </w:pPr>
          </w:p>
        </w:tc>
        <w:tc>
          <w:tcPr>
            <w:tcW w:w="3082" w:type="dxa"/>
          </w:tcPr>
          <w:p w14:paraId="18F5B43D" w14:textId="77777777" w:rsidR="00B06F19" w:rsidRDefault="00B06F19">
            <w:pPr>
              <w:rPr>
                <w:rFonts w:ascii="Arial" w:eastAsia="Times New Roman" w:hAnsi="Arial" w:cs="Arial"/>
                <w:color w:val="212121"/>
                <w:sz w:val="20"/>
                <w:szCs w:val="20"/>
              </w:rPr>
            </w:pPr>
          </w:p>
        </w:tc>
      </w:tr>
      <w:tr w:rsidR="00B06F19" w14:paraId="1D23B316" w14:textId="77777777">
        <w:tc>
          <w:tcPr>
            <w:tcW w:w="959" w:type="dxa"/>
          </w:tcPr>
          <w:p w14:paraId="7D7BC5FA" w14:textId="77777777" w:rsidR="00B06F19" w:rsidRDefault="00B06F19">
            <w:pPr>
              <w:rPr>
                <w:rFonts w:ascii="Arial" w:eastAsia="Times New Roman" w:hAnsi="Arial" w:cs="Arial"/>
                <w:color w:val="212121"/>
                <w:sz w:val="20"/>
                <w:szCs w:val="20"/>
              </w:rPr>
            </w:pPr>
          </w:p>
        </w:tc>
        <w:tc>
          <w:tcPr>
            <w:tcW w:w="5204" w:type="dxa"/>
          </w:tcPr>
          <w:p w14:paraId="10670B06" w14:textId="77777777" w:rsidR="00B06F19" w:rsidRDefault="00B06F19">
            <w:pPr>
              <w:rPr>
                <w:rFonts w:ascii="Arial" w:eastAsia="Times New Roman" w:hAnsi="Arial" w:cs="Arial"/>
                <w:color w:val="212121"/>
                <w:sz w:val="20"/>
                <w:szCs w:val="20"/>
              </w:rPr>
            </w:pPr>
          </w:p>
        </w:tc>
        <w:tc>
          <w:tcPr>
            <w:tcW w:w="3082" w:type="dxa"/>
          </w:tcPr>
          <w:p w14:paraId="5C1E9AC1" w14:textId="77777777" w:rsidR="00B06F19" w:rsidRDefault="00B06F19">
            <w:pPr>
              <w:rPr>
                <w:rFonts w:ascii="Arial" w:eastAsia="Times New Roman" w:hAnsi="Arial" w:cs="Arial"/>
                <w:color w:val="212121"/>
                <w:sz w:val="20"/>
                <w:szCs w:val="20"/>
              </w:rPr>
            </w:pPr>
          </w:p>
        </w:tc>
      </w:tr>
    </w:tbl>
    <w:p w14:paraId="7D9A05B7" w14:textId="77777777" w:rsidR="00B06F19" w:rsidRDefault="00B06F19">
      <w:pPr>
        <w:rPr>
          <w:rFonts w:ascii="Arial" w:eastAsia="Times New Roman" w:hAnsi="Arial" w:cs="Arial"/>
          <w:color w:val="212121"/>
          <w:sz w:val="20"/>
          <w:szCs w:val="20"/>
        </w:rPr>
      </w:pPr>
    </w:p>
    <w:p w14:paraId="18DA3C90" w14:textId="77777777" w:rsidR="00B06F19" w:rsidRDefault="00B06F19">
      <w:pPr>
        <w:rPr>
          <w:rFonts w:ascii="Arial" w:eastAsia="Times New Roman" w:hAnsi="Arial" w:cs="Arial"/>
          <w:color w:val="212121"/>
          <w:sz w:val="20"/>
          <w:szCs w:val="20"/>
        </w:rPr>
      </w:pPr>
    </w:p>
    <w:p w14:paraId="07521631"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br w:type="page"/>
      </w:r>
    </w:p>
    <w:p w14:paraId="7329F9EA" w14:textId="77777777" w:rsidR="00B06F19" w:rsidRDefault="009A2766">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3</w:t>
      </w:r>
    </w:p>
    <w:p w14:paraId="2C6574FA" w14:textId="77777777" w:rsidR="00B06F19" w:rsidRDefault="00B06F19">
      <w:pPr>
        <w:rPr>
          <w:rFonts w:ascii="Arial" w:eastAsia="Times New Roman" w:hAnsi="Arial" w:cs="Arial"/>
          <w:color w:val="212121"/>
          <w:sz w:val="20"/>
          <w:szCs w:val="20"/>
        </w:rPr>
      </w:pPr>
    </w:p>
    <w:p w14:paraId="4B45751C" w14:textId="77777777" w:rsidR="00B06F19" w:rsidRDefault="009A2766">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Glossary / Definitions</w:t>
      </w:r>
    </w:p>
    <w:p w14:paraId="42AA884A" w14:textId="77777777" w:rsidR="00B06F19" w:rsidRDefault="00B06F19">
      <w:pPr>
        <w:rPr>
          <w:rFonts w:ascii="Arial" w:eastAsia="Times New Roman" w:hAnsi="Arial" w:cs="Arial"/>
          <w:color w:val="212121"/>
          <w:sz w:val="20"/>
          <w:szCs w:val="20"/>
        </w:rPr>
      </w:pPr>
    </w:p>
    <w:p w14:paraId="233B65E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In this Commercial Standard, capitalised terms (if they are not defined in </w:t>
      </w:r>
      <w:r>
        <w:rPr>
          <w:rFonts w:ascii="Arial" w:eastAsia="Times New Roman" w:hAnsi="Arial" w:cs="Arial"/>
          <w:color w:val="212121"/>
          <w:sz w:val="20"/>
          <w:szCs w:val="20"/>
        </w:rPr>
        <w:t>the Catalogue Agreement or Model Interface Licence) shall have the meanings set out below:</w:t>
      </w:r>
    </w:p>
    <w:p w14:paraId="38C16C1E" w14:textId="77777777" w:rsidR="00B06F19" w:rsidRDefault="00B06F19">
      <w:pPr>
        <w:rPr>
          <w:rFonts w:ascii="Arial" w:eastAsia="Times New Roman" w:hAnsi="Arial" w:cs="Arial"/>
          <w:color w:val="212121"/>
          <w:sz w:val="20"/>
          <w:szCs w:val="20"/>
        </w:rPr>
      </w:pPr>
    </w:p>
    <w:tbl>
      <w:tblPr>
        <w:tblW w:w="0" w:type="auto"/>
        <w:tblInd w:w="93" w:type="dxa"/>
        <w:tblLayout w:type="fixed"/>
        <w:tblLook w:val="04A0" w:firstRow="1" w:lastRow="0" w:firstColumn="1" w:lastColumn="0" w:noHBand="0" w:noVBand="1"/>
      </w:tblPr>
      <w:tblGrid>
        <w:gridCol w:w="1545"/>
        <w:gridCol w:w="7598"/>
      </w:tblGrid>
      <w:tr w:rsidR="00B06F19" w14:paraId="1EAE3DAE" w14:textId="77777777">
        <w:trPr>
          <w:trHeight w:val="290"/>
        </w:trPr>
        <w:tc>
          <w:tcPr>
            <w:tcW w:w="154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6F5D97E2" w14:textId="77777777" w:rsidR="00B06F19" w:rsidRDefault="009A2766">
            <w:pPr>
              <w:rPr>
                <w:rFonts w:ascii="Arial" w:eastAsia="Times New Roman" w:hAnsi="Arial" w:cs="Arial"/>
                <w:b/>
                <w:bCs/>
                <w:color w:val="212121"/>
                <w:sz w:val="20"/>
                <w:szCs w:val="20"/>
              </w:rPr>
            </w:pPr>
            <w:r>
              <w:rPr>
                <w:rFonts w:ascii="Arial" w:eastAsia="Times New Roman" w:hAnsi="Arial" w:cs="Arial"/>
                <w:b/>
                <w:bCs/>
                <w:color w:val="212121"/>
                <w:sz w:val="20"/>
                <w:szCs w:val="20"/>
              </w:rPr>
              <w:t>Term</w:t>
            </w:r>
          </w:p>
        </w:tc>
        <w:tc>
          <w:tcPr>
            <w:tcW w:w="7598"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7498A2E6" w14:textId="77777777" w:rsidR="00B06F19" w:rsidRDefault="009A2766">
            <w:pPr>
              <w:rPr>
                <w:rFonts w:ascii="Arial" w:eastAsia="Times New Roman" w:hAnsi="Arial" w:cs="Arial"/>
                <w:b/>
                <w:bCs/>
                <w:color w:val="212121"/>
                <w:sz w:val="20"/>
                <w:szCs w:val="20"/>
              </w:rPr>
            </w:pPr>
            <w:r>
              <w:rPr>
                <w:rFonts w:ascii="Arial" w:eastAsia="Times New Roman" w:hAnsi="Arial" w:cs="Arial"/>
                <w:b/>
                <w:bCs/>
                <w:color w:val="212121"/>
                <w:sz w:val="20"/>
                <w:szCs w:val="20"/>
              </w:rPr>
              <w:t>Definition</w:t>
            </w:r>
          </w:p>
        </w:tc>
      </w:tr>
      <w:tr w:rsidR="00B06F19" w14:paraId="14BCD7F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1D80F3E3"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Additional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718FD5D"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an augmentation of a Catalogue Solution provided by the Supplier that may have its own charges and that may </w:t>
            </w:r>
            <w:r>
              <w:rPr>
                <w:rFonts w:ascii="Arial" w:eastAsia="Times New Roman" w:hAnsi="Arial" w:cs="Arial"/>
                <w:color w:val="212121"/>
                <w:sz w:val="20"/>
                <w:szCs w:val="20"/>
              </w:rPr>
              <w:t>require the purchase of one or more of the Associated Services applicable to the Catalogue Solution it augments;</w:t>
            </w:r>
          </w:p>
        </w:tc>
      </w:tr>
      <w:tr w:rsidR="00B06F19" w14:paraId="3C04279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BB4F578"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Associated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839C9EB"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services associated with the implementation or optimisation of a Catalogue Solution, that the Call Off Ordering Part</w:t>
            </w:r>
            <w:r>
              <w:rPr>
                <w:rFonts w:ascii="Arial" w:eastAsia="Times New Roman" w:hAnsi="Arial" w:cs="Arial"/>
                <w:color w:val="212121"/>
                <w:sz w:val="20"/>
                <w:szCs w:val="20"/>
              </w:rPr>
              <w:t>ies have the option as to whether or not to purchase in association with their purchase of that Catalogue Solution;</w:t>
            </w:r>
          </w:p>
        </w:tc>
      </w:tr>
      <w:tr w:rsidR="00B06F19" w14:paraId="074689B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6FC94A"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Benchmark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989D1E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_Ref8217736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23</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B06F19" w14:paraId="7721375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381D5864"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Call Off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8D4CF4A"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a Call Off Agreement executed pursuant to any Framework Agreement authorised to link to and utilise the Catalogue;  </w:t>
            </w:r>
          </w:p>
        </w:tc>
      </w:tr>
      <w:tr w:rsidR="00B06F19" w14:paraId="0B508B5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0555FF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Call Off Ordering Party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6508D7A"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any party who executes a  Call Off </w:t>
            </w:r>
            <w:r>
              <w:rPr>
                <w:rFonts w:ascii="Arial" w:eastAsia="Times New Roman" w:hAnsi="Arial" w:cs="Arial"/>
                <w:color w:val="212121"/>
                <w:sz w:val="20"/>
                <w:szCs w:val="20"/>
              </w:rPr>
              <w:t>Agreement with the Supplier;</w:t>
            </w:r>
          </w:p>
        </w:tc>
      </w:tr>
      <w:tr w:rsidR="00B06F19" w14:paraId="09FC519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2BFE5290"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Capability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6B21C80"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a specification of one or more functional capabilities and the associated Standards (if applicable), as defined in accordance with the Capability and Standards Model;</w:t>
            </w:r>
          </w:p>
        </w:tc>
      </w:tr>
      <w:tr w:rsidR="00B06F19" w14:paraId="4EF5686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FD1CCD7"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Catalogue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1EAC318B"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the digital catalogue (as</w:t>
            </w:r>
            <w:r>
              <w:rPr>
                <w:rFonts w:ascii="Arial" w:eastAsia="Times New Roman" w:hAnsi="Arial" w:cs="Arial"/>
                <w:color w:val="212121"/>
                <w:sz w:val="20"/>
                <w:szCs w:val="20"/>
              </w:rPr>
              <w:t xml:space="preserve"> may be referred to as the "Digital Buying Catalogue") used to support on-boarding, used by Suppliers to advertise Catalogue Solution(s) and by Call Off Ordering Parties to browse, compare and purchase Supplier Catalogue Solutions;</w:t>
            </w:r>
          </w:p>
        </w:tc>
      </w:tr>
      <w:tr w:rsidR="00B06F19" w14:paraId="16CA90FC"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B224A2"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Catalogue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8343B0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w:t>
            </w:r>
            <w:r>
              <w:rPr>
                <w:rFonts w:ascii="Arial" w:eastAsia="Times New Roman" w:hAnsi="Arial" w:cs="Arial"/>
                <w:color w:val="212121"/>
                <w:sz w:val="20"/>
                <w:szCs w:val="20"/>
              </w:rPr>
              <w:t>ns the Catalogue Terms, Catalogue Ancillary Documents and other documents that are incorporated by reference;</w:t>
            </w:r>
          </w:p>
        </w:tc>
      </w:tr>
      <w:tr w:rsidR="00B06F19" w14:paraId="328E0589"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7428C18D"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Catalogue Ancillary Documents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A962C4B" w14:textId="77777777" w:rsidR="00B06F19" w:rsidRDefault="009A2766">
            <w:pPr>
              <w:spacing w:after="240"/>
              <w:rPr>
                <w:rFonts w:ascii="Arial" w:eastAsia="Times New Roman" w:hAnsi="Arial" w:cs="Arial"/>
                <w:color w:val="212121"/>
                <w:sz w:val="20"/>
                <w:szCs w:val="20"/>
              </w:rPr>
            </w:pPr>
            <w:r>
              <w:rPr>
                <w:rFonts w:ascii="Arial" w:eastAsia="Times New Roman" w:hAnsi="Arial" w:cs="Arial"/>
                <w:color w:val="212121"/>
                <w:sz w:val="20"/>
                <w:szCs w:val="20"/>
              </w:rPr>
              <w:t xml:space="preserve">means any operational documents that the Catalogue Authority reasonably requires the Supplier to comply with, </w:t>
            </w:r>
            <w:r>
              <w:rPr>
                <w:rFonts w:ascii="Arial" w:eastAsia="Times New Roman" w:hAnsi="Arial" w:cs="Arial"/>
                <w:color w:val="212121"/>
                <w:sz w:val="20"/>
                <w:szCs w:val="20"/>
              </w:rPr>
              <w:t>that are uploaded and published by the Catalogue Authority from time to time, including but not limited to:</w:t>
            </w:r>
          </w:p>
          <w:p w14:paraId="4E2E0CA4" w14:textId="77777777" w:rsidR="00B06F19" w:rsidRDefault="009A2766">
            <w:pPr>
              <w:numPr>
                <w:ilvl w:val="0"/>
                <w:numId w:val="23"/>
              </w:numPr>
              <w:rPr>
                <w:rFonts w:ascii="Arial" w:eastAsia="Times New Roman" w:hAnsi="Arial" w:cs="Arial"/>
                <w:sz w:val="20"/>
                <w:szCs w:val="20"/>
              </w:rPr>
            </w:pPr>
            <w:r>
              <w:rPr>
                <w:rFonts w:ascii="Arial" w:eastAsia="Times New Roman" w:hAnsi="Arial" w:cs="Arial"/>
                <w:sz w:val="20"/>
                <w:szCs w:val="20"/>
              </w:rPr>
              <w:t>Catalogue On-boarding Process;</w:t>
            </w:r>
          </w:p>
          <w:p w14:paraId="57A7CFC9" w14:textId="77777777" w:rsidR="00B06F19" w:rsidRDefault="009A2766">
            <w:pPr>
              <w:numPr>
                <w:ilvl w:val="0"/>
                <w:numId w:val="23"/>
              </w:numPr>
              <w:rPr>
                <w:rFonts w:ascii="Arial" w:eastAsia="Times New Roman" w:hAnsi="Arial" w:cs="Arial"/>
                <w:sz w:val="20"/>
                <w:szCs w:val="20"/>
              </w:rPr>
            </w:pPr>
            <w:r>
              <w:rPr>
                <w:rFonts w:ascii="Arial" w:eastAsia="Times New Roman" w:hAnsi="Arial" w:cs="Arial"/>
                <w:sz w:val="20"/>
                <w:szCs w:val="20"/>
              </w:rPr>
              <w:t>Privacy Policy;</w:t>
            </w:r>
          </w:p>
          <w:p w14:paraId="5BDB348D" w14:textId="77777777" w:rsidR="00B06F19" w:rsidRDefault="009A2766">
            <w:pPr>
              <w:numPr>
                <w:ilvl w:val="0"/>
                <w:numId w:val="23"/>
              </w:numPr>
              <w:rPr>
                <w:rFonts w:ascii="Arial" w:eastAsia="Times New Roman" w:hAnsi="Arial" w:cs="Arial"/>
                <w:sz w:val="20"/>
                <w:szCs w:val="20"/>
              </w:rPr>
            </w:pPr>
            <w:r>
              <w:rPr>
                <w:rFonts w:ascii="Arial" w:eastAsia="Times New Roman" w:hAnsi="Arial" w:cs="Arial"/>
                <w:sz w:val="20"/>
                <w:szCs w:val="20"/>
              </w:rPr>
              <w:t>Cookies Policy;</w:t>
            </w:r>
          </w:p>
          <w:p w14:paraId="037BD999" w14:textId="77777777" w:rsidR="00B06F19" w:rsidRDefault="009A2766">
            <w:pPr>
              <w:numPr>
                <w:ilvl w:val="0"/>
                <w:numId w:val="23"/>
              </w:numPr>
              <w:rPr>
                <w:rFonts w:ascii="Arial" w:eastAsia="Times New Roman" w:hAnsi="Arial" w:cs="Arial"/>
                <w:sz w:val="20"/>
                <w:szCs w:val="20"/>
              </w:rPr>
            </w:pPr>
            <w:r>
              <w:rPr>
                <w:rFonts w:ascii="Arial" w:eastAsia="Times New Roman" w:hAnsi="Arial" w:cs="Arial"/>
                <w:sz w:val="20"/>
                <w:szCs w:val="20"/>
              </w:rPr>
              <w:t>Acceptable Use Policy.</w:t>
            </w:r>
          </w:p>
          <w:p w14:paraId="415763ED" w14:textId="77777777" w:rsidR="00B06F19" w:rsidRDefault="009A2766">
            <w:pPr>
              <w:numPr>
                <w:ilvl w:val="0"/>
                <w:numId w:val="23"/>
              </w:numPr>
              <w:rPr>
                <w:rFonts w:ascii="Arial" w:eastAsia="Times New Roman" w:hAnsi="Arial" w:cs="Arial"/>
                <w:sz w:val="20"/>
                <w:szCs w:val="20"/>
              </w:rPr>
            </w:pPr>
            <w:r>
              <w:rPr>
                <w:rFonts w:ascii="Arial" w:eastAsia="Times New Roman" w:hAnsi="Arial" w:cs="Arial"/>
                <w:sz w:val="20"/>
                <w:szCs w:val="20"/>
              </w:rPr>
              <w:t>Catalogue Buyer's Guide;</w:t>
            </w:r>
          </w:p>
          <w:p w14:paraId="50A14E6B" w14:textId="77777777" w:rsidR="00B06F19" w:rsidRDefault="009A2766">
            <w:pPr>
              <w:numPr>
                <w:ilvl w:val="0"/>
                <w:numId w:val="23"/>
              </w:numPr>
              <w:rPr>
                <w:rFonts w:ascii="Arial" w:eastAsia="Times New Roman" w:hAnsi="Arial" w:cs="Arial"/>
                <w:sz w:val="20"/>
                <w:szCs w:val="20"/>
              </w:rPr>
            </w:pPr>
            <w:r>
              <w:rPr>
                <w:rFonts w:ascii="Arial" w:eastAsia="Times New Roman" w:hAnsi="Arial" w:cs="Arial"/>
                <w:sz w:val="20"/>
                <w:szCs w:val="20"/>
              </w:rPr>
              <w:t>Change Management Process and Roadmap</w:t>
            </w:r>
            <w:r>
              <w:rPr>
                <w:rFonts w:ascii="Arial" w:eastAsia="Times New Roman" w:hAnsi="Arial" w:cs="Arial"/>
                <w:sz w:val="20"/>
                <w:szCs w:val="20"/>
              </w:rPr>
              <w:t xml:space="preserve"> Content;</w:t>
            </w:r>
          </w:p>
          <w:p w14:paraId="574A381C" w14:textId="77777777" w:rsidR="00B06F19" w:rsidRDefault="009A2766">
            <w:pPr>
              <w:numPr>
                <w:ilvl w:val="0"/>
                <w:numId w:val="23"/>
              </w:numPr>
              <w:rPr>
                <w:rFonts w:ascii="Arial" w:eastAsia="Times New Roman" w:hAnsi="Arial" w:cs="Arial"/>
                <w:sz w:val="20"/>
                <w:szCs w:val="20"/>
              </w:rPr>
            </w:pPr>
            <w:r>
              <w:rPr>
                <w:rFonts w:ascii="Arial" w:eastAsia="Times New Roman" w:hAnsi="Arial" w:cs="Arial"/>
                <w:sz w:val="20"/>
                <w:szCs w:val="20"/>
              </w:rPr>
              <w:t>Model Interface Licence;</w:t>
            </w:r>
          </w:p>
          <w:p w14:paraId="555770D3" w14:textId="77777777" w:rsidR="00B06F19" w:rsidRDefault="009A2766">
            <w:pPr>
              <w:numPr>
                <w:ilvl w:val="0"/>
                <w:numId w:val="23"/>
              </w:numPr>
              <w:spacing w:after="240"/>
              <w:rPr>
                <w:rFonts w:ascii="Arial" w:eastAsia="Times New Roman" w:hAnsi="Arial" w:cs="Arial"/>
                <w:sz w:val="20"/>
                <w:szCs w:val="20"/>
              </w:rPr>
            </w:pPr>
            <w:r>
              <w:rPr>
                <w:rFonts w:ascii="Arial" w:eastAsia="Times New Roman" w:hAnsi="Arial" w:cs="Arial"/>
                <w:sz w:val="20"/>
                <w:szCs w:val="20"/>
              </w:rPr>
              <w:t>Catalogue Solution Migration Process;</w:t>
            </w:r>
          </w:p>
          <w:p w14:paraId="169022A6"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each of which is defined in the Catalogue Agreement;</w:t>
            </w:r>
          </w:p>
        </w:tc>
      </w:tr>
      <w:tr w:rsidR="00B06F19" w14:paraId="260E70C9"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D771A56"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Catalogue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D3A063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is defined in the preamble to the Catalogue Agreement;</w:t>
            </w:r>
          </w:p>
        </w:tc>
      </w:tr>
      <w:tr w:rsidR="00B06F19" w14:paraId="3E7BB1B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130996F4"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Catalogue On-boarding Process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71F0D080"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the </w:t>
            </w:r>
            <w:r>
              <w:rPr>
                <w:rFonts w:ascii="Arial" w:eastAsia="Times New Roman" w:hAnsi="Arial" w:cs="Arial"/>
                <w:color w:val="212121"/>
                <w:sz w:val="20"/>
                <w:szCs w:val="20"/>
              </w:rPr>
              <w:t>process and requirements set out in the Catalogue On-boarding Process document, as published by the Catalogue Authority;</w:t>
            </w:r>
          </w:p>
        </w:tc>
      </w:tr>
      <w:tr w:rsidR="00B06F19" w14:paraId="7BEB35D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A5E8796"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Catalogue Remedial Plan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7845CDD"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the plan detailing the steps the Supplier must follow to remedy a notified breach, in accordance with cl</w:t>
            </w:r>
            <w:r>
              <w:rPr>
                <w:rFonts w:ascii="Arial" w:eastAsia="Times New Roman" w:hAnsi="Arial" w:cs="Arial"/>
                <w:color w:val="212121"/>
                <w:sz w:val="20"/>
                <w:szCs w:val="20"/>
              </w:rPr>
              <w:t>auses 42.5 to 42.8 of the Catalogue Agreement;</w:t>
            </w:r>
          </w:p>
        </w:tc>
      </w:tr>
      <w:tr w:rsidR="00B06F19" w14:paraId="382592E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97C813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Catalogue Solution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762993"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any of the Supplier's services registered on the Catalogue, including Additional Services applicable to that product;</w:t>
            </w:r>
          </w:p>
        </w:tc>
      </w:tr>
      <w:tr w:rsidR="00B06F19" w14:paraId="6BB1EFE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148202C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CCG</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AB1A273"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a clinical commissioning group;</w:t>
            </w:r>
          </w:p>
        </w:tc>
      </w:tr>
      <w:tr w:rsidR="00B06F19" w14:paraId="684B5A3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244DD18E" w14:textId="77777777" w:rsidR="00B06F19" w:rsidRDefault="009A2766">
            <w:pPr>
              <w:keepNext/>
              <w:rPr>
                <w:rFonts w:ascii="Arial" w:eastAsia="Times New Roman" w:hAnsi="Arial" w:cs="Arial"/>
                <w:color w:val="212121"/>
                <w:sz w:val="20"/>
                <w:szCs w:val="20"/>
              </w:rPr>
            </w:pPr>
            <w:r>
              <w:rPr>
                <w:rFonts w:ascii="Arial" w:eastAsia="Times New Roman" w:hAnsi="Arial" w:cs="Arial"/>
                <w:color w:val="212121"/>
                <w:sz w:val="20"/>
                <w:szCs w:val="20"/>
              </w:rPr>
              <w:lastRenderedPageBreak/>
              <w:t xml:space="preserve">Change </w:t>
            </w:r>
            <w:r>
              <w:rPr>
                <w:rFonts w:ascii="Arial" w:eastAsia="Times New Roman" w:hAnsi="Arial" w:cs="Arial"/>
                <w:color w:val="212121"/>
                <w:sz w:val="20"/>
                <w:szCs w:val="20"/>
              </w:rPr>
              <w:t>Management Process and Roadmap Content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86CFDA4" w14:textId="77777777" w:rsidR="00B06F19" w:rsidRDefault="009A2766">
            <w:pPr>
              <w:keepNext/>
              <w:rPr>
                <w:rFonts w:ascii="Arial" w:eastAsia="Times New Roman" w:hAnsi="Arial" w:cs="Arial"/>
                <w:color w:val="212121"/>
                <w:sz w:val="20"/>
                <w:szCs w:val="20"/>
              </w:rPr>
            </w:pPr>
            <w:r>
              <w:rPr>
                <w:rFonts w:ascii="Arial" w:eastAsia="Times New Roman" w:hAnsi="Arial" w:cs="Arial"/>
                <w:color w:val="212121"/>
                <w:sz w:val="20"/>
                <w:szCs w:val="20"/>
              </w:rPr>
              <w:t>means the Change Management Process and Roadmap Content document, published by the Catalogue Authority;</w:t>
            </w:r>
          </w:p>
        </w:tc>
      </w:tr>
      <w:tr w:rsidR="00B06F19" w14:paraId="218E7E09"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DD1B1F3"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Commercial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0A47E4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_Ref8216260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B06F19" w14:paraId="401EB0A6"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7285D0D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Consumer Supplier</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12AADE4B"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B06F19" w14:paraId="58261B72"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746B9C21"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Connection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F51974C"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the connection of different systems so that queries aimed at an Interface receive results returned following fulfilment of all criteria for the Interface and connection of the systems; </w:t>
            </w:r>
          </w:p>
        </w:tc>
      </w:tr>
      <w:tr w:rsidR="00B06F19" w14:paraId="60BB15F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48F7C047"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Connection Go Live Date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639831CB" w14:textId="77777777" w:rsidR="00B06F19" w:rsidRDefault="009A2766">
            <w:pPr>
              <w:rPr>
                <w:rFonts w:ascii="Arial" w:eastAsia="Times New Roman" w:hAnsi="Arial" w:cs="Arial"/>
                <w:color w:val="212121"/>
                <w:sz w:val="20"/>
                <w:szCs w:val="20"/>
              </w:rPr>
            </w:pPr>
            <w:r>
              <w:rPr>
                <w:rFonts w:ascii="Arial" w:hAnsi="Arial" w:cs="Arial"/>
                <w:sz w:val="20"/>
                <w:szCs w:val="20"/>
              </w:rPr>
              <w:t xml:space="preserve">means the date on which queries </w:t>
            </w:r>
            <w:r>
              <w:rPr>
                <w:rFonts w:ascii="Arial" w:hAnsi="Arial" w:cs="Arial"/>
                <w:sz w:val="20"/>
                <w:szCs w:val="20"/>
              </w:rPr>
              <w:t>aimed at the relevant Interface, for the relevant Connection, start to receive results in a live environment following fulfilment of all criteria for the Interface and connection of the relevant systems, as confirmed by the Provider Supplier issuing a cert</w:t>
            </w:r>
            <w:r>
              <w:rPr>
                <w:rFonts w:ascii="Arial" w:hAnsi="Arial" w:cs="Arial"/>
                <w:sz w:val="20"/>
                <w:szCs w:val="20"/>
              </w:rPr>
              <w:t>ificate;</w:t>
            </w:r>
          </w:p>
        </w:tc>
      </w:tr>
      <w:tr w:rsidR="00B06F19" w14:paraId="4E65E1A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0446305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Data Processing Deed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13B97FBB" w14:textId="77777777" w:rsidR="00B06F19" w:rsidRDefault="009A2766">
            <w:pPr>
              <w:rPr>
                <w:rFonts w:ascii="Arial" w:hAnsi="Arial" w:cs="Arial"/>
                <w:sz w:val="20"/>
                <w:szCs w:val="20"/>
              </w:rPr>
            </w:pPr>
            <w:r>
              <w:rPr>
                <w:rFonts w:ascii="Arial" w:hAnsi="Arial" w:cs="Arial"/>
                <w:sz w:val="20"/>
                <w:szCs w:val="20"/>
              </w:rPr>
              <w:t>means the prescribed form deed poll instrument pursuant to which the Supplier gives an undertaking for the benefit of named parties to govern how the Supplier will process Personal Data;</w:t>
            </w:r>
          </w:p>
        </w:tc>
      </w:tr>
      <w:tr w:rsidR="00B06F19" w14:paraId="6FC57FD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358EB0C4"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Framework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E2014A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any framewo</w:t>
            </w:r>
            <w:r>
              <w:rPr>
                <w:rFonts w:ascii="Arial" w:eastAsia="Times New Roman" w:hAnsi="Arial" w:cs="Arial"/>
                <w:color w:val="212121"/>
                <w:sz w:val="20"/>
                <w:szCs w:val="20"/>
              </w:rPr>
              <w:t>rk agreement that the Supplier is a party to that links to the Catalogue, which shall include the clauses, schedules and any appendices and annexes to the agreement;</w:t>
            </w:r>
          </w:p>
        </w:tc>
      </w:tr>
      <w:tr w:rsidR="00B06F19" w14:paraId="6D17492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C66341"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Framework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3DA69BE"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the party (other than the Supplier) to a Framework Agreement;</w:t>
            </w:r>
          </w:p>
        </w:tc>
      </w:tr>
      <w:tr w:rsidR="00B06F19" w14:paraId="6DB9EC76"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315F5B87"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Interface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2472096"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the open application programming Interfaces (APIs) and other system Interfaces mandated by the Interoperability Standard;</w:t>
            </w:r>
          </w:p>
        </w:tc>
      </w:tr>
      <w:tr w:rsidR="00B06F19" w14:paraId="457663D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10B16022"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FC1B62A"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the terms to govern the making and fulfilment of a Connection request relating to the </w:t>
            </w:r>
            <w:r>
              <w:rPr>
                <w:rFonts w:ascii="Arial" w:eastAsia="Times New Roman" w:hAnsi="Arial" w:cs="Arial"/>
                <w:color w:val="212121"/>
                <w:sz w:val="20"/>
                <w:szCs w:val="20"/>
              </w:rPr>
              <w:t>transactional services over Interfaces;</w:t>
            </w:r>
          </w:p>
        </w:tc>
      </w:tr>
      <w:tr w:rsidR="00B06F19" w14:paraId="30C7FBB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69E10F3C"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Interface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A1272B8"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the performance of obligations to fulfil requirements in relation to  Interfaces; </w:t>
            </w:r>
          </w:p>
        </w:tc>
      </w:tr>
      <w:tr w:rsidR="00B06F19" w14:paraId="5B93531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30FC970"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Interoperability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FAF8523"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the Interoperability Standard document, as published by the Catalogue Auth</w:t>
            </w:r>
            <w:r>
              <w:rPr>
                <w:rFonts w:ascii="Arial" w:eastAsia="Times New Roman" w:hAnsi="Arial" w:cs="Arial"/>
                <w:color w:val="212121"/>
                <w:sz w:val="20"/>
                <w:szCs w:val="20"/>
              </w:rPr>
              <w:t>ority;</w:t>
            </w:r>
          </w:p>
        </w:tc>
      </w:tr>
      <w:tr w:rsidR="00B06F19" w14:paraId="53923AF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3DE6FC0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Mandated Information Flows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160A476"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_Ref8216241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18</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B06F19" w14:paraId="7812C50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BED692E"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Market Responsibility Provisions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DE8D3D1"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has the meaning given in </w:t>
            </w:r>
            <w:r>
              <w:rPr>
                <w:rFonts w:ascii="Arial" w:eastAsia="Times New Roman" w:hAnsi="Arial" w:cs="Arial"/>
                <w:color w:val="212121"/>
                <w:sz w:val="20"/>
                <w:szCs w:val="20"/>
              </w:rPr>
              <w:t>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_Ref8221806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36</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B06F19" w14:paraId="6F36043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31E728C"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Model 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21D0AD9"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the Model Interface Licence, which is a template as published by the Catalogue Authority which </w:t>
            </w:r>
            <w:r>
              <w:rPr>
                <w:rFonts w:ascii="Arial" w:eastAsia="Times New Roman" w:hAnsi="Arial" w:cs="Arial"/>
                <w:color w:val="212121"/>
                <w:sz w:val="20"/>
                <w:szCs w:val="20"/>
              </w:rPr>
              <w:t>shall be used by the Supplier to govern Connections with the Consumer Suppliers as set out in Appendix 4;</w:t>
            </w:r>
          </w:p>
        </w:tc>
      </w:tr>
      <w:tr w:rsidR="00B06F19" w14:paraId="4990629F"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064BC916" w14:textId="77777777" w:rsidR="00B06F19" w:rsidRDefault="009A2766">
            <w:pPr>
              <w:rPr>
                <w:rFonts w:ascii="Arial" w:eastAsia="Times New Roman" w:hAnsi="Arial" w:cs="Arial"/>
                <w:sz w:val="20"/>
                <w:szCs w:val="20"/>
              </w:rPr>
            </w:pPr>
            <w:r>
              <w:rPr>
                <w:rFonts w:ascii="Arial" w:eastAsia="Times New Roman" w:hAnsi="Arial" w:cs="Arial"/>
                <w:sz w:val="20"/>
                <w:szCs w:val="20"/>
              </w:rPr>
              <w:t>National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246DF915" w14:textId="77777777" w:rsidR="00B06F19" w:rsidRDefault="009A2766">
            <w:pPr>
              <w:rPr>
                <w:rFonts w:ascii="Arial" w:hAnsi="Arial" w:cs="Arial"/>
                <w:sz w:val="20"/>
                <w:szCs w:val="20"/>
              </w:rPr>
            </w:pPr>
            <w:r>
              <w:rPr>
                <w:rFonts w:ascii="Arial" w:eastAsia="Times New Roman" w:hAnsi="Arial" w:cs="Arial"/>
                <w:sz w:val="20"/>
                <w:szCs w:val="20"/>
              </w:rPr>
              <w:t>means</w:t>
            </w:r>
            <w:r>
              <w:rPr>
                <w:rFonts w:ascii="Arial" w:hAnsi="Arial" w:cs="Arial"/>
                <w:sz w:val="20"/>
                <w:szCs w:val="20"/>
              </w:rPr>
              <w:t xml:space="preserve"> the national services, their replacements and or new national services introduced via the Standards Roadmap as specified in the Interoperability Standard, including: </w:t>
            </w:r>
          </w:p>
          <w:p w14:paraId="29F954ED" w14:textId="77777777" w:rsidR="00B06F19" w:rsidRDefault="009A2766">
            <w:pPr>
              <w:numPr>
                <w:ilvl w:val="0"/>
                <w:numId w:val="27"/>
              </w:numPr>
              <w:rPr>
                <w:rFonts w:ascii="Arial" w:eastAsia="Times New Roman" w:hAnsi="Arial" w:cs="Arial"/>
                <w:sz w:val="20"/>
                <w:szCs w:val="20"/>
              </w:rPr>
            </w:pPr>
            <w:r>
              <w:rPr>
                <w:rFonts w:ascii="Arial" w:eastAsia="Times New Roman" w:hAnsi="Arial" w:cs="Arial"/>
                <w:sz w:val="20"/>
                <w:szCs w:val="20"/>
              </w:rPr>
              <w:t>Electronic Prescription Service (EPS);</w:t>
            </w:r>
          </w:p>
          <w:p w14:paraId="5D3BC7B6" w14:textId="77777777" w:rsidR="00B06F19" w:rsidRDefault="009A2766">
            <w:pPr>
              <w:numPr>
                <w:ilvl w:val="0"/>
                <w:numId w:val="27"/>
              </w:numPr>
              <w:rPr>
                <w:rFonts w:ascii="Arial" w:eastAsia="Times New Roman" w:hAnsi="Arial" w:cs="Arial"/>
                <w:sz w:val="20"/>
                <w:szCs w:val="20"/>
                <w:lang w:val="de-DE"/>
              </w:rPr>
            </w:pPr>
            <w:r>
              <w:rPr>
                <w:rFonts w:ascii="Arial" w:eastAsia="Times New Roman" w:hAnsi="Arial" w:cs="Arial"/>
                <w:sz w:val="20"/>
                <w:szCs w:val="20"/>
                <w:lang w:val="de-DE"/>
              </w:rPr>
              <w:t>e-Referrals Service (e-RS);</w:t>
            </w:r>
          </w:p>
          <w:p w14:paraId="5969731F" w14:textId="77777777" w:rsidR="00B06F19" w:rsidRDefault="009A2766">
            <w:pPr>
              <w:numPr>
                <w:ilvl w:val="0"/>
                <w:numId w:val="27"/>
              </w:numPr>
              <w:rPr>
                <w:rFonts w:ascii="Arial" w:eastAsia="Times New Roman" w:hAnsi="Arial" w:cs="Arial"/>
                <w:sz w:val="20"/>
                <w:szCs w:val="20"/>
              </w:rPr>
            </w:pPr>
            <w:r>
              <w:rPr>
                <w:rFonts w:ascii="Arial" w:eastAsia="Times New Roman" w:hAnsi="Arial" w:cs="Arial"/>
                <w:sz w:val="20"/>
                <w:szCs w:val="20"/>
              </w:rPr>
              <w:t>GPES-I;</w:t>
            </w:r>
          </w:p>
          <w:p w14:paraId="3D725C94" w14:textId="77777777" w:rsidR="00B06F19" w:rsidRDefault="009A2766">
            <w:pPr>
              <w:numPr>
                <w:ilvl w:val="0"/>
                <w:numId w:val="27"/>
              </w:numPr>
              <w:rPr>
                <w:rFonts w:ascii="Arial" w:eastAsia="Times New Roman" w:hAnsi="Arial" w:cs="Arial"/>
                <w:sz w:val="20"/>
                <w:szCs w:val="20"/>
              </w:rPr>
            </w:pPr>
            <w:r>
              <w:rPr>
                <w:rFonts w:ascii="Arial" w:eastAsia="Times New Roman" w:hAnsi="Arial" w:cs="Arial"/>
                <w:sz w:val="20"/>
                <w:szCs w:val="20"/>
              </w:rPr>
              <w:t>GP2GP;</w:t>
            </w:r>
          </w:p>
          <w:p w14:paraId="67567E51" w14:textId="77777777" w:rsidR="00B06F19" w:rsidRDefault="009A2766">
            <w:pPr>
              <w:numPr>
                <w:ilvl w:val="0"/>
                <w:numId w:val="27"/>
              </w:numPr>
              <w:rPr>
                <w:rFonts w:ascii="Arial" w:eastAsia="Times New Roman" w:hAnsi="Arial" w:cs="Arial"/>
                <w:sz w:val="20"/>
                <w:szCs w:val="20"/>
              </w:rPr>
            </w:pPr>
            <w:r>
              <w:rPr>
                <w:rFonts w:ascii="Arial" w:eastAsia="Times New Roman" w:hAnsi="Arial" w:cs="Arial"/>
                <w:sz w:val="20"/>
                <w:szCs w:val="20"/>
              </w:rPr>
              <w:t>Personal Demographics Service (PDS);</w:t>
            </w:r>
          </w:p>
          <w:p w14:paraId="7C38E07C" w14:textId="77777777" w:rsidR="00B06F19" w:rsidRDefault="009A2766">
            <w:pPr>
              <w:numPr>
                <w:ilvl w:val="0"/>
                <w:numId w:val="27"/>
              </w:numPr>
              <w:rPr>
                <w:rFonts w:ascii="Arial" w:eastAsia="Times New Roman" w:hAnsi="Arial" w:cs="Arial"/>
                <w:sz w:val="20"/>
                <w:szCs w:val="20"/>
              </w:rPr>
            </w:pPr>
            <w:r>
              <w:rPr>
                <w:rFonts w:ascii="Arial" w:eastAsia="Times New Roman" w:hAnsi="Arial" w:cs="Arial"/>
                <w:sz w:val="20"/>
                <w:szCs w:val="20"/>
              </w:rPr>
              <w:t xml:space="preserve">Spine subsystems as defined in the External Interface Specification (EIS); and </w:t>
            </w:r>
          </w:p>
          <w:p w14:paraId="2D08E6F0" w14:textId="77777777" w:rsidR="00B06F19" w:rsidRDefault="009A2766">
            <w:pPr>
              <w:numPr>
                <w:ilvl w:val="0"/>
                <w:numId w:val="27"/>
              </w:numPr>
              <w:rPr>
                <w:rFonts w:ascii="Arial" w:eastAsia="Times New Roman" w:hAnsi="Arial" w:cs="Arial"/>
                <w:sz w:val="20"/>
                <w:szCs w:val="20"/>
              </w:rPr>
            </w:pPr>
            <w:r>
              <w:rPr>
                <w:rFonts w:ascii="Arial" w:eastAsia="Times New Roman" w:hAnsi="Arial" w:cs="Arial"/>
                <w:sz w:val="20"/>
                <w:szCs w:val="20"/>
              </w:rPr>
              <w:t xml:space="preserve">Summary Care Record (SCR); </w:t>
            </w:r>
          </w:p>
        </w:tc>
      </w:tr>
      <w:tr w:rsidR="00B06F19" w14:paraId="5550987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43245B02"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NHS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4C42F1F"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clinical data, care provision data and other operational data, including Personal Data, which i</w:t>
            </w:r>
            <w:r>
              <w:rPr>
                <w:rFonts w:ascii="Arial" w:eastAsia="Times New Roman" w:hAnsi="Arial" w:cs="Arial"/>
                <w:color w:val="212121"/>
                <w:sz w:val="20"/>
                <w:szCs w:val="20"/>
              </w:rPr>
              <w:t xml:space="preserve">s generated and recorded through health and care delivery; </w:t>
            </w:r>
          </w:p>
        </w:tc>
      </w:tr>
      <w:tr w:rsidR="00B06F19" w14:paraId="2EA9075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FF61621"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Non-Standard </w:t>
            </w:r>
            <w:r>
              <w:rPr>
                <w:rFonts w:ascii="Arial" w:eastAsia="Times New Roman" w:hAnsi="Arial" w:cs="Arial"/>
                <w:color w:val="212121"/>
                <w:sz w:val="20"/>
                <w:szCs w:val="20"/>
              </w:rPr>
              <w:lastRenderedPageBreak/>
              <w:t>Provision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EBB9DFE"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lastRenderedPageBreak/>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_Ref8216195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B06F19" w14:paraId="6312A3C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8B8E5E"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Notification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5E165FD"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_Ref8216212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43</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w:t>
            </w:r>
            <w:r>
              <w:rPr>
                <w:rFonts w:ascii="Arial" w:eastAsia="Times New Roman" w:hAnsi="Arial" w:cs="Arial"/>
                <w:color w:val="212121"/>
                <w:sz w:val="20"/>
                <w:szCs w:val="20"/>
              </w:rPr>
              <w:t>dard;</w:t>
            </w:r>
          </w:p>
        </w:tc>
      </w:tr>
      <w:tr w:rsidR="00B06F19" w14:paraId="707AAC9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D22EA47"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Open API Alignment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1F829AD5"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_Ref8216220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26</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B06F19" w14:paraId="6A03F50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D3B8362"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Open API Policy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F2C035E" w14:textId="77777777" w:rsidR="00B06F19" w:rsidRDefault="009A2766">
            <w:pPr>
              <w:rPr>
                <w:rFonts w:ascii="Arial" w:hAnsi="Arial" w:cs="Arial"/>
                <w:color w:val="1F497D"/>
                <w:sz w:val="20"/>
                <w:szCs w:val="20"/>
              </w:rPr>
            </w:pPr>
            <w:r>
              <w:rPr>
                <w:rFonts w:ascii="Arial" w:eastAsia="Times New Roman" w:hAnsi="Arial" w:cs="Arial"/>
                <w:color w:val="212121"/>
                <w:sz w:val="20"/>
                <w:szCs w:val="20"/>
              </w:rPr>
              <w:t xml:space="preserve">means the NHS England managed policy for open APIs found at: </w:t>
            </w:r>
            <w:r>
              <w:rPr>
                <w:rFonts w:ascii="Arial" w:hAnsi="Arial" w:cs="Arial"/>
                <w:sz w:val="20"/>
                <w:szCs w:val="20"/>
              </w:rPr>
              <w:t>https://www.england.nhs.uk/publication/open-api-architecture-policy/</w:t>
            </w:r>
          </w:p>
          <w:p w14:paraId="368A12E7" w14:textId="77777777" w:rsidR="00B06F19" w:rsidRDefault="00B06F19">
            <w:pPr>
              <w:rPr>
                <w:rFonts w:ascii="Arial" w:eastAsia="Times New Roman" w:hAnsi="Arial" w:cs="Arial"/>
                <w:color w:val="212121"/>
                <w:sz w:val="20"/>
                <w:szCs w:val="20"/>
              </w:rPr>
            </w:pPr>
          </w:p>
        </w:tc>
      </w:tr>
      <w:tr w:rsidR="00B06F19" w14:paraId="63D991E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34DB9723"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Periodic Service Charge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741D6C8"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_Ref3196527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6</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B06F19" w14:paraId="0DA739F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2CBFC75A"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Personal Data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44F9F83"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B06F19" w14:paraId="19FE9796"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63665B64" w14:textId="77777777" w:rsidR="00B06F19" w:rsidRDefault="009A2766">
            <w:pPr>
              <w:rPr>
                <w:rFonts w:ascii="Arial" w:eastAsia="Times New Roman" w:hAnsi="Arial" w:cs="Arial"/>
                <w:b/>
                <w:color w:val="212121"/>
                <w:sz w:val="20"/>
                <w:szCs w:val="20"/>
              </w:rPr>
            </w:pPr>
            <w:r>
              <w:rPr>
                <w:rFonts w:ascii="Arial" w:eastAsia="Times New Roman" w:hAnsi="Arial" w:cs="Arial"/>
                <w:color w:val="212121"/>
                <w:sz w:val="20"/>
                <w:szCs w:val="20"/>
              </w:rPr>
              <w:t>Provider Supplier</w:t>
            </w:r>
            <w:r>
              <w:rPr>
                <w:rFonts w:ascii="Arial" w:eastAsia="Times New Roman" w:hAnsi="Arial" w:cs="Arial"/>
                <w:b/>
                <w:color w:val="212121"/>
                <w:sz w:val="20"/>
                <w:szCs w:val="20"/>
              </w:rPr>
              <w:t xml:space="preserv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68CCF5CD"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the party who provides the Interface query results pursuant to an Interface </w:t>
            </w:r>
            <w:r>
              <w:rPr>
                <w:rFonts w:ascii="Arial" w:eastAsia="Times New Roman" w:hAnsi="Arial" w:cs="Arial"/>
                <w:color w:val="212121"/>
                <w:sz w:val="20"/>
                <w:szCs w:val="20"/>
              </w:rPr>
              <w:t>Licence;</w:t>
            </w:r>
          </w:p>
        </w:tc>
      </w:tr>
      <w:tr w:rsidR="00B06F19" w14:paraId="222A77B9"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70A0E5D"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Reciprocal Data Transactions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37D5DA74"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 xml:space="preserve">means any arrangement between Data Processor entities which deliver material </w:t>
            </w:r>
            <w:r>
              <w:rPr>
                <w:rFonts w:ascii="Arial" w:eastAsia="Times New Roman" w:hAnsi="Arial" w:cs="Arial"/>
                <w:color w:val="212121"/>
                <w:sz w:val="20"/>
                <w:szCs w:val="20"/>
              </w:rPr>
              <w:t xml:space="preserve">mutual benefit between the Data Processors involved, such as an enhancement of convenience, functional sophistication or other highly marketable customer option (excluding the general marketing of access to a range of partner or interoperable services) in </w:t>
            </w:r>
            <w:r>
              <w:rPr>
                <w:rFonts w:ascii="Arial" w:eastAsia="Times New Roman" w:hAnsi="Arial" w:cs="Arial"/>
                <w:color w:val="212121"/>
                <w:sz w:val="20"/>
                <w:szCs w:val="20"/>
              </w:rPr>
              <w:t xml:space="preserve">respect of the Catalogue Solution/s in question. </w:t>
            </w:r>
          </w:p>
        </w:tc>
      </w:tr>
      <w:tr w:rsidR="00B06F19" w14:paraId="3D8F33D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23FB70B"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Service Recipient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15DFBBB"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any entity which consumes services delivered under a Call Off Agreement, including as identified by a Call Off Order Form;</w:t>
            </w:r>
          </w:p>
        </w:tc>
      </w:tr>
      <w:tr w:rsidR="00B06F19" w14:paraId="7FD11D9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39C573BC"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Standard Data Flow</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6F5D3F4"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has the meaning given in Annex 2 of th</w:t>
            </w:r>
            <w:r>
              <w:rPr>
                <w:rFonts w:ascii="Arial" w:eastAsia="Times New Roman" w:hAnsi="Arial" w:cs="Arial"/>
                <w:color w:val="212121"/>
                <w:sz w:val="20"/>
                <w:szCs w:val="20"/>
              </w:rPr>
              <w:t>is Commercial Standard;</w:t>
            </w:r>
          </w:p>
        </w:tc>
      </w:tr>
      <w:tr w:rsidR="00B06F19" w14:paraId="017D262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146A1868"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Standards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53717BC" w14:textId="77777777" w:rsidR="00B06F19" w:rsidRDefault="009A2766">
            <w:pPr>
              <w:spacing w:after="240"/>
              <w:rPr>
                <w:rFonts w:ascii="Arial" w:eastAsia="Times New Roman" w:hAnsi="Arial" w:cs="Arial"/>
                <w:color w:val="212121"/>
                <w:sz w:val="20"/>
                <w:szCs w:val="20"/>
              </w:rPr>
            </w:pPr>
            <w:r>
              <w:rPr>
                <w:rFonts w:ascii="Arial" w:eastAsia="Times New Roman" w:hAnsi="Arial" w:cs="Arial"/>
                <w:color w:val="212121"/>
                <w:sz w:val="20"/>
                <w:szCs w:val="20"/>
              </w:rPr>
              <w:t xml:space="preserve">means the standards which are formatted in accordance with and which are set out and mapped to Capabilities in the Change Management Process and Roadmap Content document, which will include the following types of </w:t>
            </w:r>
            <w:r>
              <w:rPr>
                <w:rFonts w:ascii="Arial" w:eastAsia="Times New Roman" w:hAnsi="Arial" w:cs="Arial"/>
                <w:color w:val="212121"/>
                <w:sz w:val="20"/>
                <w:szCs w:val="20"/>
              </w:rPr>
              <w:t>standards:</w:t>
            </w:r>
          </w:p>
          <w:p w14:paraId="6D966BD9" w14:textId="77777777" w:rsidR="00B06F19" w:rsidRDefault="009A2766">
            <w:pPr>
              <w:numPr>
                <w:ilvl w:val="0"/>
                <w:numId w:val="28"/>
              </w:numPr>
              <w:rPr>
                <w:rFonts w:ascii="Arial" w:eastAsia="Times New Roman" w:hAnsi="Arial" w:cs="Arial"/>
                <w:sz w:val="20"/>
                <w:szCs w:val="20"/>
              </w:rPr>
            </w:pPr>
            <w:r>
              <w:rPr>
                <w:rFonts w:ascii="Arial" w:eastAsia="Times New Roman" w:hAnsi="Arial" w:cs="Arial"/>
                <w:sz w:val="20"/>
                <w:szCs w:val="20"/>
              </w:rPr>
              <w:t>the standards applicable to each Capability at the point the Catalogue Solution begins the Catalogue On-Boarding Process;</w:t>
            </w:r>
          </w:p>
          <w:p w14:paraId="3EB45AE5" w14:textId="77777777" w:rsidR="00B06F19" w:rsidRDefault="009A2766">
            <w:pPr>
              <w:numPr>
                <w:ilvl w:val="0"/>
                <w:numId w:val="28"/>
              </w:numPr>
              <w:rPr>
                <w:rFonts w:ascii="Arial" w:eastAsia="Times New Roman" w:hAnsi="Arial" w:cs="Arial"/>
                <w:sz w:val="20"/>
                <w:szCs w:val="20"/>
              </w:rPr>
            </w:pPr>
            <w:r>
              <w:rPr>
                <w:rFonts w:ascii="Arial" w:eastAsia="Times New Roman" w:hAnsi="Arial" w:cs="Arial"/>
                <w:sz w:val="20"/>
                <w:szCs w:val="20"/>
              </w:rPr>
              <w:t>the standards applicable to each Capability in accordance with the Standards Roadmap; and</w:t>
            </w:r>
          </w:p>
          <w:p w14:paraId="280FCECC" w14:textId="77777777" w:rsidR="00B06F19" w:rsidRDefault="009A2766">
            <w:pPr>
              <w:numPr>
                <w:ilvl w:val="0"/>
                <w:numId w:val="28"/>
              </w:numPr>
              <w:spacing w:after="240"/>
              <w:rPr>
                <w:rFonts w:ascii="Arial" w:eastAsia="Times New Roman" w:hAnsi="Arial" w:cs="Arial"/>
                <w:color w:val="212121"/>
                <w:sz w:val="20"/>
                <w:szCs w:val="20"/>
              </w:rPr>
            </w:pPr>
            <w:r>
              <w:rPr>
                <w:rFonts w:ascii="Arial" w:eastAsia="Times New Roman" w:hAnsi="Arial" w:cs="Arial"/>
                <w:sz w:val="20"/>
                <w:szCs w:val="20"/>
              </w:rPr>
              <w:t>any standards defined by a Suppli</w:t>
            </w:r>
            <w:r>
              <w:rPr>
                <w:rFonts w:ascii="Arial" w:eastAsia="Times New Roman" w:hAnsi="Arial" w:cs="Arial"/>
                <w:sz w:val="20"/>
                <w:szCs w:val="20"/>
              </w:rPr>
              <w:t>er as part of the agreed specification of an additional capability under the Catalogue On-boarding Process;</w:t>
            </w:r>
          </w:p>
        </w:tc>
      </w:tr>
      <w:tr w:rsidR="00B06F19" w14:paraId="30D62D96"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392D68EE"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Standards Roadmap</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1E1F463C"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the roadmap for delivery of and/or updates to Standards as set out in the Change Management Process and Roadmap Content doc</w:t>
            </w:r>
            <w:r>
              <w:rPr>
                <w:rFonts w:ascii="Arial" w:eastAsia="Times New Roman" w:hAnsi="Arial" w:cs="Arial"/>
                <w:color w:val="212121"/>
                <w:sz w:val="20"/>
                <w:szCs w:val="20"/>
              </w:rPr>
              <w:t>ument;</w:t>
            </w:r>
          </w:p>
        </w:tc>
      </w:tr>
      <w:tr w:rsidR="00B06F19" w14:paraId="176C5EB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239F9967"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Supplier(s)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CCCC9F4" w14:textId="77777777" w:rsidR="00B06F19" w:rsidRDefault="009A2766">
            <w:pPr>
              <w:rPr>
                <w:rFonts w:ascii="Arial" w:eastAsia="Times New Roman" w:hAnsi="Arial" w:cs="Arial"/>
                <w:color w:val="212121"/>
                <w:sz w:val="20"/>
                <w:szCs w:val="20"/>
              </w:rPr>
            </w:pPr>
            <w:r>
              <w:rPr>
                <w:rFonts w:ascii="Arial" w:eastAsia="Times New Roman" w:hAnsi="Arial" w:cs="Arial"/>
                <w:color w:val="212121"/>
                <w:sz w:val="20"/>
                <w:szCs w:val="20"/>
              </w:rPr>
              <w:t>means each supplier of a Catalogue Solution and party to a Catalogue Agreement.</w:t>
            </w:r>
          </w:p>
        </w:tc>
      </w:tr>
    </w:tbl>
    <w:p w14:paraId="3379B053" w14:textId="77777777" w:rsidR="00B06F19" w:rsidRDefault="00B06F19">
      <w:pPr>
        <w:rPr>
          <w:rFonts w:ascii="Arial" w:eastAsia="Times New Roman" w:hAnsi="Arial" w:cs="Arial"/>
          <w:color w:val="212121"/>
          <w:sz w:val="20"/>
          <w:szCs w:val="20"/>
        </w:rPr>
      </w:pPr>
    </w:p>
    <w:p w14:paraId="5E6E3BF0" w14:textId="77777777" w:rsidR="00B06F19" w:rsidRDefault="00B06F19">
      <w:pPr>
        <w:keepLines/>
        <w:rPr>
          <w:rFonts w:ascii="Arial" w:eastAsia="Times New Roman" w:hAnsi="Arial" w:cs="Arial"/>
          <w:color w:val="212121"/>
          <w:sz w:val="20"/>
          <w:szCs w:val="20"/>
        </w:rPr>
        <w:sectPr w:rsidR="00B06F19">
          <w:headerReference w:type="default" r:id="rId8"/>
          <w:footerReference w:type="default" r:id="rId9"/>
          <w:headerReference w:type="first" r:id="rId10"/>
          <w:pgSz w:w="11900" w:h="16840"/>
          <w:pgMar w:top="1440" w:right="1440" w:bottom="1440" w:left="1440" w:header="708" w:footer="708" w:gutter="0"/>
          <w:pgNumType w:start="0"/>
          <w:cols w:space="708"/>
          <w:titlePg/>
          <w:docGrid w:linePitch="360"/>
        </w:sectPr>
      </w:pPr>
    </w:p>
    <w:p w14:paraId="45FE5395" w14:textId="77777777" w:rsidR="00B06F19" w:rsidRDefault="009A2766">
      <w:pPr>
        <w:keepLines/>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 xml:space="preserve">Annex 4: Model </w:t>
      </w:r>
      <w:r>
        <w:rPr>
          <w:rFonts w:ascii="Arial" w:eastAsia="Times New Roman" w:hAnsi="Arial" w:cs="Arial"/>
          <w:b/>
          <w:color w:val="212121"/>
          <w:sz w:val="20"/>
          <w:szCs w:val="20"/>
        </w:rPr>
        <w:t>Interface Licence</w:t>
      </w:r>
    </w:p>
    <w:p w14:paraId="48D95C76" w14:textId="77777777" w:rsidR="00B06F19" w:rsidRDefault="00B06F19">
      <w:pPr>
        <w:rPr>
          <w:rFonts w:ascii="Arial" w:eastAsia="Times New Roman" w:hAnsi="Arial" w:cs="Arial"/>
          <w:color w:val="212121"/>
          <w:sz w:val="20"/>
          <w:szCs w:val="20"/>
        </w:rPr>
      </w:pPr>
    </w:p>
    <w:p w14:paraId="55BCF2D5" w14:textId="77777777" w:rsidR="00B06F19" w:rsidRDefault="00B06F19">
      <w:pPr>
        <w:rPr>
          <w:rFonts w:ascii="Arial" w:eastAsia="Times New Roman" w:hAnsi="Arial" w:cs="Arial"/>
          <w:color w:val="212121"/>
          <w:sz w:val="20"/>
          <w:szCs w:val="20"/>
        </w:rPr>
      </w:pPr>
    </w:p>
    <w:p w14:paraId="4CBCB8A9" w14:textId="77777777" w:rsidR="00B06F19" w:rsidRDefault="00B06F19">
      <w:pPr>
        <w:rPr>
          <w:rFonts w:ascii="Arial" w:eastAsia="Times New Roman" w:hAnsi="Arial" w:cs="Arial"/>
          <w:color w:val="212121"/>
          <w:sz w:val="20"/>
          <w:szCs w:val="20"/>
        </w:rPr>
      </w:pPr>
    </w:p>
    <w:p w14:paraId="7F04F8B8" w14:textId="77777777" w:rsidR="00B06F19" w:rsidRDefault="00B06F19">
      <w:pPr>
        <w:rPr>
          <w:rFonts w:ascii="Arial" w:eastAsia="Times New Roman" w:hAnsi="Arial" w:cs="Arial"/>
          <w:color w:val="212121"/>
          <w:sz w:val="20"/>
          <w:szCs w:val="20"/>
        </w:rPr>
      </w:pPr>
    </w:p>
    <w:p w14:paraId="7CC69610" w14:textId="77777777" w:rsidR="00B06F19" w:rsidRDefault="00B06F19">
      <w:pPr>
        <w:pStyle w:val="bodycondstrongcentred"/>
        <w:rPr>
          <w:rFonts w:ascii="Arial" w:hAnsi="Arial" w:cs="Arial"/>
          <w:sz w:val="20"/>
          <w:szCs w:val="20"/>
        </w:rPr>
      </w:pPr>
      <w:bookmarkStart w:id="23" w:name="bmPartiesUpper"/>
      <w:bookmarkEnd w:id="23"/>
    </w:p>
    <w:p w14:paraId="6977E151" w14:textId="77777777" w:rsidR="00B06F19" w:rsidRDefault="00B06F19">
      <w:pPr>
        <w:pStyle w:val="body"/>
        <w:rPr>
          <w:rFonts w:ascii="Arial" w:hAnsi="Arial" w:cs="Arial"/>
          <w:sz w:val="20"/>
          <w:szCs w:val="20"/>
        </w:rPr>
      </w:pPr>
    </w:p>
    <w:p w14:paraId="370BC3DB" w14:textId="77777777" w:rsidR="00B06F19" w:rsidRDefault="00B06F19">
      <w:pPr>
        <w:pStyle w:val="body"/>
        <w:rPr>
          <w:rFonts w:ascii="Arial" w:hAnsi="Arial" w:cs="Arial"/>
          <w:sz w:val="20"/>
          <w:szCs w:val="20"/>
        </w:rPr>
      </w:pPr>
    </w:p>
    <w:p w14:paraId="596583D2" w14:textId="77777777" w:rsidR="00B06F19" w:rsidRDefault="009A2766">
      <w:pPr>
        <w:pStyle w:val="body"/>
        <w:jc w:val="center"/>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 ]</w:t>
      </w:r>
    </w:p>
    <w:p w14:paraId="267EF245" w14:textId="77777777" w:rsidR="00B06F19" w:rsidRDefault="00B06F19">
      <w:pPr>
        <w:pStyle w:val="body"/>
        <w:rPr>
          <w:rFonts w:ascii="Arial" w:hAnsi="Arial" w:cs="Arial"/>
          <w:sz w:val="20"/>
          <w:szCs w:val="20"/>
        </w:rPr>
      </w:pPr>
    </w:p>
    <w:p w14:paraId="6F2118E1" w14:textId="77777777" w:rsidR="00B06F19" w:rsidRDefault="00B06F19">
      <w:pPr>
        <w:pStyle w:val="body"/>
        <w:rPr>
          <w:rFonts w:ascii="Arial" w:hAnsi="Arial" w:cs="Arial"/>
          <w:sz w:val="20"/>
          <w:szCs w:val="20"/>
        </w:rPr>
      </w:pPr>
    </w:p>
    <w:p w14:paraId="63C46B71" w14:textId="77777777" w:rsidR="00B06F19" w:rsidRDefault="00B06F19">
      <w:pPr>
        <w:pStyle w:val="body"/>
        <w:rPr>
          <w:rFonts w:ascii="Arial" w:hAnsi="Arial" w:cs="Arial"/>
          <w:sz w:val="20"/>
          <w:szCs w:val="20"/>
        </w:rPr>
      </w:pPr>
    </w:p>
    <w:tbl>
      <w:tblPr>
        <w:tblW w:w="0" w:type="auto"/>
        <w:tblLayout w:type="fixed"/>
        <w:tblLook w:val="0000" w:firstRow="0" w:lastRow="0" w:firstColumn="0" w:lastColumn="0" w:noHBand="0" w:noVBand="0"/>
      </w:tblPr>
      <w:tblGrid>
        <w:gridCol w:w="2538"/>
        <w:gridCol w:w="4306"/>
        <w:gridCol w:w="2396"/>
      </w:tblGrid>
      <w:tr w:rsidR="00B06F19" w14:paraId="55329F49" w14:textId="77777777">
        <w:tc>
          <w:tcPr>
            <w:tcW w:w="2538" w:type="dxa"/>
          </w:tcPr>
          <w:p w14:paraId="015ACA10" w14:textId="77777777" w:rsidR="00B06F19" w:rsidRDefault="00B06F19">
            <w:pPr>
              <w:tabs>
                <w:tab w:val="left" w:pos="-720"/>
              </w:tabs>
              <w:suppressAutoHyphens/>
              <w:rPr>
                <w:rFonts w:ascii="Arial" w:hAnsi="Arial" w:cs="Arial"/>
                <w:spacing w:val="-3"/>
                <w:sz w:val="20"/>
                <w:szCs w:val="20"/>
              </w:rPr>
            </w:pPr>
          </w:p>
        </w:tc>
        <w:tc>
          <w:tcPr>
            <w:tcW w:w="4306" w:type="dxa"/>
          </w:tcPr>
          <w:p w14:paraId="13066C88" w14:textId="77777777" w:rsidR="00B06F19" w:rsidRDefault="00B06F19">
            <w:pPr>
              <w:pStyle w:val="bodystrongcentred"/>
              <w:rPr>
                <w:rFonts w:ascii="Arial" w:hAnsi="Arial" w:cs="Arial"/>
                <w:sz w:val="20"/>
                <w:szCs w:val="20"/>
              </w:rPr>
            </w:pPr>
          </w:p>
          <w:p w14:paraId="787E5108" w14:textId="77777777" w:rsidR="00B06F19" w:rsidRDefault="009A2766">
            <w:pPr>
              <w:pStyle w:val="BODYDOCTITLE"/>
              <w:rPr>
                <w:rFonts w:ascii="Arial" w:hAnsi="Arial" w:cs="Arial"/>
                <w:sz w:val="20"/>
                <w:szCs w:val="20"/>
              </w:rPr>
            </w:pPr>
            <w:r>
              <w:rPr>
                <w:rFonts w:ascii="Arial" w:hAnsi="Arial" w:cs="Arial"/>
                <w:sz w:val="20"/>
                <w:szCs w:val="20"/>
              </w:rPr>
              <w:t xml:space="preserve">model Interface licence </w:t>
            </w:r>
          </w:p>
          <w:p w14:paraId="20F78B05" w14:textId="77777777" w:rsidR="00B06F19" w:rsidRDefault="00B06F19">
            <w:pPr>
              <w:pStyle w:val="BODYDOCTITLE"/>
              <w:rPr>
                <w:rFonts w:ascii="Arial" w:hAnsi="Arial" w:cs="Arial"/>
                <w:sz w:val="20"/>
                <w:szCs w:val="20"/>
              </w:rPr>
            </w:pPr>
          </w:p>
          <w:p w14:paraId="539CF849" w14:textId="77777777" w:rsidR="00B06F19" w:rsidRDefault="009A2766">
            <w:pPr>
              <w:pStyle w:val="BODYDOCTITLE"/>
              <w:rPr>
                <w:rFonts w:ascii="Arial" w:hAnsi="Arial" w:cs="Arial"/>
                <w:sz w:val="20"/>
                <w:szCs w:val="20"/>
              </w:rPr>
            </w:pPr>
            <w:r>
              <w:rPr>
                <w:rFonts w:ascii="Arial" w:hAnsi="Arial" w:cs="Arial"/>
                <w:sz w:val="20"/>
                <w:szCs w:val="20"/>
              </w:rPr>
              <w:t>gp it systems and services</w:t>
            </w:r>
          </w:p>
          <w:p w14:paraId="47EDEE92" w14:textId="77777777" w:rsidR="00B06F19" w:rsidRDefault="00B06F19">
            <w:pPr>
              <w:tabs>
                <w:tab w:val="left" w:pos="-720"/>
              </w:tabs>
              <w:suppressAutoHyphens/>
              <w:rPr>
                <w:rFonts w:ascii="Arial" w:hAnsi="Arial" w:cs="Arial"/>
                <w:spacing w:val="-3"/>
                <w:sz w:val="20"/>
                <w:szCs w:val="20"/>
              </w:rPr>
            </w:pPr>
          </w:p>
        </w:tc>
        <w:tc>
          <w:tcPr>
            <w:tcW w:w="2396" w:type="dxa"/>
          </w:tcPr>
          <w:p w14:paraId="0DE64004" w14:textId="77777777" w:rsidR="00B06F19" w:rsidRDefault="00B06F19">
            <w:pPr>
              <w:tabs>
                <w:tab w:val="left" w:pos="-720"/>
              </w:tabs>
              <w:suppressAutoHyphens/>
              <w:rPr>
                <w:rFonts w:ascii="Arial" w:hAnsi="Arial" w:cs="Arial"/>
                <w:spacing w:val="-3"/>
                <w:sz w:val="20"/>
                <w:szCs w:val="20"/>
              </w:rPr>
            </w:pPr>
          </w:p>
        </w:tc>
      </w:tr>
    </w:tbl>
    <w:p w14:paraId="12159873" w14:textId="77777777" w:rsidR="00B06F19" w:rsidRDefault="00B06F19">
      <w:pPr>
        <w:pStyle w:val="MarginText"/>
        <w:keepNext/>
        <w:rPr>
          <w:rFonts w:ascii="Arial" w:hAnsi="Arial" w:cs="Arial"/>
          <w:sz w:val="20"/>
        </w:rPr>
      </w:pPr>
    </w:p>
    <w:p w14:paraId="618640F4" w14:textId="77777777" w:rsidR="00B06F19" w:rsidRDefault="009A2766">
      <w:pPr>
        <w:pStyle w:val="MarginText"/>
        <w:keepNext/>
        <w:rPr>
          <w:rFonts w:ascii="Arial" w:hAnsi="Arial" w:cs="Arial"/>
          <w:sz w:val="20"/>
        </w:rPr>
      </w:pPr>
      <w:r>
        <w:rPr>
          <w:rFonts w:ascii="Arial" w:hAnsi="Arial" w:cs="Arial"/>
          <w:sz w:val="20"/>
        </w:rPr>
        <w:br w:type="page"/>
      </w:r>
      <w:r>
        <w:rPr>
          <w:rFonts w:ascii="Arial" w:hAnsi="Arial" w:cs="Arial"/>
          <w:sz w:val="20"/>
        </w:rPr>
        <w:lastRenderedPageBreak/>
        <w:t>CONTENTS</w:t>
      </w:r>
    </w:p>
    <w:bookmarkStart w:id="24" w:name="TOCField"/>
    <w:bookmarkStart w:id="25" w:name="TOCAppendicesField"/>
    <w:bookmarkEnd w:id="24"/>
    <w:bookmarkEnd w:id="25"/>
    <w:p w14:paraId="7676ADEC" w14:textId="77777777" w:rsidR="00B06F19" w:rsidRDefault="009A2766">
      <w:pPr>
        <w:pStyle w:val="TOC1"/>
        <w:rPr>
          <w:rFonts w:asciiTheme="minorHAnsi" w:eastAsiaTheme="minorEastAsia" w:hAnsiTheme="minorHAnsi" w:cstheme="minorBidi"/>
          <w:caps w:val="0"/>
          <w:noProof/>
          <w:sz w:val="22"/>
          <w:szCs w:val="22"/>
          <w:lang w:eastAsia="en-GB"/>
        </w:rPr>
      </w:pPr>
      <w:r>
        <w:rPr>
          <w:rFonts w:cs="Arial"/>
          <w:caps w:val="0"/>
        </w:rPr>
        <w:fldChar w:fldCharType="begin"/>
      </w:r>
      <w:r>
        <w:rPr>
          <w:rFonts w:cs="Arial"/>
          <w:caps w:val="0"/>
        </w:rPr>
        <w:instrText xml:space="preserve"> TOC \h \z \t "Heading 1,1,SchHead,1" </w:instrText>
      </w:r>
      <w:r>
        <w:rPr>
          <w:rFonts w:cs="Arial"/>
          <w:caps w:val="0"/>
        </w:rPr>
        <w:fldChar w:fldCharType="separate"/>
      </w:r>
      <w:hyperlink w:anchor="_Toc8389560" w:history="1">
        <w:r>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caps w:val="0"/>
            <w:noProof/>
            <w:sz w:val="22"/>
            <w:szCs w:val="22"/>
            <w:lang w:eastAsia="en-GB"/>
          </w:rPr>
          <w:tab/>
        </w:r>
        <w:r>
          <w:rPr>
            <w:rStyle w:val="Hyperlink"/>
            <w:noProof/>
          </w:rPr>
          <w:t>DEFINITIONS AND INTERPRETATION</w:t>
        </w:r>
        <w:r>
          <w:rPr>
            <w:noProof/>
            <w:webHidden/>
          </w:rPr>
          <w:tab/>
        </w:r>
        <w:r>
          <w:rPr>
            <w:noProof/>
            <w:webHidden/>
          </w:rPr>
          <w:fldChar w:fldCharType="begin"/>
        </w:r>
        <w:r>
          <w:rPr>
            <w:noProof/>
            <w:webHidden/>
          </w:rPr>
          <w:instrText xml:space="preserve"> PAGEREF _Toc8389560 \h </w:instrText>
        </w:r>
        <w:r>
          <w:rPr>
            <w:noProof/>
            <w:webHidden/>
          </w:rPr>
        </w:r>
        <w:r>
          <w:rPr>
            <w:noProof/>
            <w:webHidden/>
          </w:rPr>
          <w:fldChar w:fldCharType="separate"/>
        </w:r>
        <w:r>
          <w:rPr>
            <w:noProof/>
            <w:webHidden/>
          </w:rPr>
          <w:t>4</w:t>
        </w:r>
        <w:r>
          <w:rPr>
            <w:noProof/>
            <w:webHidden/>
          </w:rPr>
          <w:fldChar w:fldCharType="end"/>
        </w:r>
      </w:hyperlink>
    </w:p>
    <w:p w14:paraId="41FB3C68"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1" w:history="1">
        <w:r>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caps w:val="0"/>
            <w:noProof/>
            <w:sz w:val="22"/>
            <w:szCs w:val="22"/>
            <w:lang w:eastAsia="en-GB"/>
          </w:rPr>
          <w:tab/>
        </w:r>
        <w:r>
          <w:rPr>
            <w:rStyle w:val="Hyperlink"/>
            <w:noProof/>
          </w:rPr>
          <w:t>duration</w:t>
        </w:r>
        <w:r>
          <w:rPr>
            <w:noProof/>
            <w:webHidden/>
          </w:rPr>
          <w:tab/>
        </w:r>
        <w:r>
          <w:rPr>
            <w:noProof/>
            <w:webHidden/>
          </w:rPr>
          <w:fldChar w:fldCharType="begin"/>
        </w:r>
        <w:r>
          <w:rPr>
            <w:noProof/>
            <w:webHidden/>
          </w:rPr>
          <w:instrText xml:space="preserve"> PAGEREF _Toc8389561 \h </w:instrText>
        </w:r>
        <w:r>
          <w:rPr>
            <w:noProof/>
            <w:webHidden/>
          </w:rPr>
        </w:r>
        <w:r>
          <w:rPr>
            <w:noProof/>
            <w:webHidden/>
          </w:rPr>
          <w:fldChar w:fldCharType="separate"/>
        </w:r>
        <w:r>
          <w:rPr>
            <w:noProof/>
            <w:webHidden/>
          </w:rPr>
          <w:t>5</w:t>
        </w:r>
        <w:r>
          <w:rPr>
            <w:noProof/>
            <w:webHidden/>
          </w:rPr>
          <w:fldChar w:fldCharType="end"/>
        </w:r>
      </w:hyperlink>
    </w:p>
    <w:p w14:paraId="5E493D6B"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2" w:history="1">
        <w:r>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caps w:val="0"/>
            <w:noProof/>
            <w:sz w:val="22"/>
            <w:szCs w:val="22"/>
            <w:lang w:eastAsia="en-GB"/>
          </w:rPr>
          <w:tab/>
        </w:r>
        <w:r>
          <w:rPr>
            <w:rStyle w:val="Hyperlink"/>
            <w:noProof/>
          </w:rPr>
          <w:t>grant of licence</w:t>
        </w:r>
        <w:r>
          <w:rPr>
            <w:noProof/>
            <w:webHidden/>
          </w:rPr>
          <w:tab/>
        </w:r>
        <w:r>
          <w:rPr>
            <w:noProof/>
            <w:webHidden/>
          </w:rPr>
          <w:fldChar w:fldCharType="begin"/>
        </w:r>
        <w:r>
          <w:rPr>
            <w:noProof/>
            <w:webHidden/>
          </w:rPr>
          <w:instrText xml:space="preserve"> PAGEREF _Toc8389562 \h </w:instrText>
        </w:r>
        <w:r>
          <w:rPr>
            <w:noProof/>
            <w:webHidden/>
          </w:rPr>
        </w:r>
        <w:r>
          <w:rPr>
            <w:noProof/>
            <w:webHidden/>
          </w:rPr>
          <w:fldChar w:fldCharType="separate"/>
        </w:r>
        <w:r>
          <w:rPr>
            <w:noProof/>
            <w:webHidden/>
          </w:rPr>
          <w:t>5</w:t>
        </w:r>
        <w:r>
          <w:rPr>
            <w:noProof/>
            <w:webHidden/>
          </w:rPr>
          <w:fldChar w:fldCharType="end"/>
        </w:r>
      </w:hyperlink>
    </w:p>
    <w:p w14:paraId="3AC61155"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3" w:history="1">
        <w:r>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caps w:val="0"/>
            <w:noProof/>
            <w:sz w:val="22"/>
            <w:szCs w:val="22"/>
            <w:lang w:eastAsia="en-GB"/>
          </w:rPr>
          <w:tab/>
        </w:r>
        <w:r>
          <w:rPr>
            <w:rStyle w:val="Hyperlink"/>
            <w:noProof/>
          </w:rPr>
          <w:t>licence reStrictions</w:t>
        </w:r>
        <w:r>
          <w:rPr>
            <w:noProof/>
            <w:webHidden/>
          </w:rPr>
          <w:tab/>
        </w:r>
        <w:r>
          <w:rPr>
            <w:noProof/>
            <w:webHidden/>
          </w:rPr>
          <w:fldChar w:fldCharType="begin"/>
        </w:r>
        <w:r>
          <w:rPr>
            <w:noProof/>
            <w:webHidden/>
          </w:rPr>
          <w:instrText xml:space="preserve"> PAGEREF _Toc8389563 \h </w:instrText>
        </w:r>
        <w:r>
          <w:rPr>
            <w:noProof/>
            <w:webHidden/>
          </w:rPr>
        </w:r>
        <w:r>
          <w:rPr>
            <w:noProof/>
            <w:webHidden/>
          </w:rPr>
          <w:fldChar w:fldCharType="separate"/>
        </w:r>
        <w:r>
          <w:rPr>
            <w:noProof/>
            <w:webHidden/>
          </w:rPr>
          <w:t>6</w:t>
        </w:r>
        <w:r>
          <w:rPr>
            <w:noProof/>
            <w:webHidden/>
          </w:rPr>
          <w:fldChar w:fldCharType="end"/>
        </w:r>
      </w:hyperlink>
    </w:p>
    <w:p w14:paraId="5B93AD17"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4" w:history="1">
        <w:r>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caps w:val="0"/>
            <w:noProof/>
            <w:sz w:val="22"/>
            <w:szCs w:val="22"/>
            <w:lang w:eastAsia="en-GB"/>
          </w:rPr>
          <w:tab/>
        </w:r>
        <w:r>
          <w:rPr>
            <w:rStyle w:val="Hyperlink"/>
            <w:noProof/>
          </w:rPr>
          <w:t>key principles</w:t>
        </w:r>
        <w:r>
          <w:rPr>
            <w:noProof/>
            <w:webHidden/>
          </w:rPr>
          <w:tab/>
        </w:r>
        <w:r>
          <w:rPr>
            <w:noProof/>
            <w:webHidden/>
          </w:rPr>
          <w:fldChar w:fldCharType="begin"/>
        </w:r>
        <w:r>
          <w:rPr>
            <w:noProof/>
            <w:webHidden/>
          </w:rPr>
          <w:instrText xml:space="preserve"> PAGEREF _Toc8389564 \h </w:instrText>
        </w:r>
        <w:r>
          <w:rPr>
            <w:noProof/>
            <w:webHidden/>
          </w:rPr>
        </w:r>
        <w:r>
          <w:rPr>
            <w:noProof/>
            <w:webHidden/>
          </w:rPr>
          <w:fldChar w:fldCharType="separate"/>
        </w:r>
        <w:r>
          <w:rPr>
            <w:noProof/>
            <w:webHidden/>
          </w:rPr>
          <w:t>7</w:t>
        </w:r>
        <w:r>
          <w:rPr>
            <w:noProof/>
            <w:webHidden/>
          </w:rPr>
          <w:fldChar w:fldCharType="end"/>
        </w:r>
      </w:hyperlink>
    </w:p>
    <w:p w14:paraId="4B642292"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5" w:history="1">
        <w:r>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caps w:val="0"/>
            <w:noProof/>
            <w:sz w:val="22"/>
            <w:szCs w:val="22"/>
            <w:lang w:eastAsia="en-GB"/>
          </w:rPr>
          <w:tab/>
        </w:r>
        <w:r>
          <w:rPr>
            <w:rStyle w:val="Hyperlink"/>
            <w:noProof/>
          </w:rPr>
          <w:t>The Connection Process</w:t>
        </w:r>
        <w:r>
          <w:rPr>
            <w:noProof/>
            <w:webHidden/>
          </w:rPr>
          <w:tab/>
        </w:r>
        <w:r>
          <w:rPr>
            <w:noProof/>
            <w:webHidden/>
          </w:rPr>
          <w:fldChar w:fldCharType="begin"/>
        </w:r>
        <w:r>
          <w:rPr>
            <w:noProof/>
            <w:webHidden/>
          </w:rPr>
          <w:instrText xml:space="preserve"> PAGEREF _Toc8389565 \h </w:instrText>
        </w:r>
        <w:r>
          <w:rPr>
            <w:noProof/>
            <w:webHidden/>
          </w:rPr>
        </w:r>
        <w:r>
          <w:rPr>
            <w:noProof/>
            <w:webHidden/>
          </w:rPr>
          <w:fldChar w:fldCharType="separate"/>
        </w:r>
        <w:r>
          <w:rPr>
            <w:noProof/>
            <w:webHidden/>
          </w:rPr>
          <w:t>8</w:t>
        </w:r>
        <w:r>
          <w:rPr>
            <w:noProof/>
            <w:webHidden/>
          </w:rPr>
          <w:fldChar w:fldCharType="end"/>
        </w:r>
      </w:hyperlink>
    </w:p>
    <w:p w14:paraId="5B8F255C"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7" w:history="1">
        <w:r>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caps w:val="0"/>
            <w:noProof/>
            <w:sz w:val="22"/>
            <w:szCs w:val="22"/>
            <w:lang w:eastAsia="en-GB"/>
          </w:rPr>
          <w:tab/>
        </w:r>
        <w:r>
          <w:rPr>
            <w:rStyle w:val="Hyperlink"/>
            <w:noProof/>
          </w:rPr>
          <w:t xml:space="preserve">Fair Usage </w:t>
        </w:r>
        <w:r>
          <w:rPr>
            <w:rStyle w:val="Hyperlink"/>
            <w:noProof/>
          </w:rPr>
          <w:t>Policy</w:t>
        </w:r>
        <w:r>
          <w:rPr>
            <w:noProof/>
            <w:webHidden/>
          </w:rPr>
          <w:tab/>
        </w:r>
        <w:r>
          <w:rPr>
            <w:noProof/>
            <w:webHidden/>
          </w:rPr>
          <w:fldChar w:fldCharType="begin"/>
        </w:r>
        <w:r>
          <w:rPr>
            <w:noProof/>
            <w:webHidden/>
          </w:rPr>
          <w:instrText xml:space="preserve"> PAGEREF _Toc8389567 \h </w:instrText>
        </w:r>
        <w:r>
          <w:rPr>
            <w:noProof/>
            <w:webHidden/>
          </w:rPr>
        </w:r>
        <w:r>
          <w:rPr>
            <w:noProof/>
            <w:webHidden/>
          </w:rPr>
          <w:fldChar w:fldCharType="separate"/>
        </w:r>
        <w:r>
          <w:rPr>
            <w:noProof/>
            <w:webHidden/>
          </w:rPr>
          <w:t>9</w:t>
        </w:r>
        <w:r>
          <w:rPr>
            <w:noProof/>
            <w:webHidden/>
          </w:rPr>
          <w:fldChar w:fldCharType="end"/>
        </w:r>
      </w:hyperlink>
    </w:p>
    <w:p w14:paraId="1D9930F6"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8" w:history="1">
        <w:r>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caps w:val="0"/>
            <w:noProof/>
            <w:sz w:val="22"/>
            <w:szCs w:val="22"/>
            <w:lang w:eastAsia="en-GB"/>
          </w:rPr>
          <w:tab/>
        </w:r>
        <w:r>
          <w:rPr>
            <w:rStyle w:val="Hyperlink"/>
            <w:noProof/>
          </w:rPr>
          <w:t>charges</w:t>
        </w:r>
        <w:r>
          <w:rPr>
            <w:noProof/>
            <w:webHidden/>
          </w:rPr>
          <w:tab/>
        </w:r>
        <w:r>
          <w:rPr>
            <w:noProof/>
            <w:webHidden/>
          </w:rPr>
          <w:fldChar w:fldCharType="begin"/>
        </w:r>
        <w:r>
          <w:rPr>
            <w:noProof/>
            <w:webHidden/>
          </w:rPr>
          <w:instrText xml:space="preserve"> PAGEREF _Toc8389568 \h </w:instrText>
        </w:r>
        <w:r>
          <w:rPr>
            <w:noProof/>
            <w:webHidden/>
          </w:rPr>
        </w:r>
        <w:r>
          <w:rPr>
            <w:noProof/>
            <w:webHidden/>
          </w:rPr>
          <w:fldChar w:fldCharType="separate"/>
        </w:r>
        <w:r>
          <w:rPr>
            <w:noProof/>
            <w:webHidden/>
          </w:rPr>
          <w:t>10</w:t>
        </w:r>
        <w:r>
          <w:rPr>
            <w:noProof/>
            <w:webHidden/>
          </w:rPr>
          <w:fldChar w:fldCharType="end"/>
        </w:r>
      </w:hyperlink>
    </w:p>
    <w:p w14:paraId="18F80E7C"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69" w:history="1">
        <w:r>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caps w:val="0"/>
            <w:noProof/>
            <w:sz w:val="22"/>
            <w:szCs w:val="22"/>
            <w:lang w:eastAsia="en-GB"/>
          </w:rPr>
          <w:tab/>
        </w:r>
        <w:r>
          <w:rPr>
            <w:rStyle w:val="Hyperlink"/>
            <w:noProof/>
          </w:rPr>
          <w:t>personal Data</w:t>
        </w:r>
        <w:r>
          <w:rPr>
            <w:noProof/>
            <w:webHidden/>
          </w:rPr>
          <w:tab/>
        </w:r>
        <w:r>
          <w:rPr>
            <w:noProof/>
            <w:webHidden/>
          </w:rPr>
          <w:fldChar w:fldCharType="begin"/>
        </w:r>
        <w:r>
          <w:rPr>
            <w:noProof/>
            <w:webHidden/>
          </w:rPr>
          <w:instrText xml:space="preserve"> PAGEREF _Toc8389569 \h </w:instrText>
        </w:r>
        <w:r>
          <w:rPr>
            <w:noProof/>
            <w:webHidden/>
          </w:rPr>
        </w:r>
        <w:r>
          <w:rPr>
            <w:noProof/>
            <w:webHidden/>
          </w:rPr>
          <w:fldChar w:fldCharType="separate"/>
        </w:r>
        <w:r>
          <w:rPr>
            <w:noProof/>
            <w:webHidden/>
          </w:rPr>
          <w:t>10</w:t>
        </w:r>
        <w:r>
          <w:rPr>
            <w:noProof/>
            <w:webHidden/>
          </w:rPr>
          <w:fldChar w:fldCharType="end"/>
        </w:r>
      </w:hyperlink>
    </w:p>
    <w:p w14:paraId="7F50589A"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0" w:history="1">
        <w:r>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caps w:val="0"/>
            <w:noProof/>
            <w:sz w:val="22"/>
            <w:szCs w:val="22"/>
            <w:lang w:eastAsia="en-GB"/>
          </w:rPr>
          <w:tab/>
        </w:r>
        <w:r>
          <w:rPr>
            <w:rStyle w:val="Hyperlink"/>
            <w:noProof/>
          </w:rPr>
          <w:t>CONFIDENTIALITY</w:t>
        </w:r>
        <w:r>
          <w:rPr>
            <w:noProof/>
            <w:webHidden/>
          </w:rPr>
          <w:tab/>
        </w:r>
        <w:r>
          <w:rPr>
            <w:noProof/>
            <w:webHidden/>
          </w:rPr>
          <w:fldChar w:fldCharType="begin"/>
        </w:r>
        <w:r>
          <w:rPr>
            <w:noProof/>
            <w:webHidden/>
          </w:rPr>
          <w:instrText xml:space="preserve"> PAGEREF _Toc8389570 \h </w:instrText>
        </w:r>
        <w:r>
          <w:rPr>
            <w:noProof/>
            <w:webHidden/>
          </w:rPr>
        </w:r>
        <w:r>
          <w:rPr>
            <w:noProof/>
            <w:webHidden/>
          </w:rPr>
          <w:fldChar w:fldCharType="separate"/>
        </w:r>
        <w:r>
          <w:rPr>
            <w:noProof/>
            <w:webHidden/>
          </w:rPr>
          <w:t>11</w:t>
        </w:r>
        <w:r>
          <w:rPr>
            <w:noProof/>
            <w:webHidden/>
          </w:rPr>
          <w:fldChar w:fldCharType="end"/>
        </w:r>
      </w:hyperlink>
    </w:p>
    <w:p w14:paraId="4863F691"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1" w:history="1">
        <w:r>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caps w:val="0"/>
            <w:noProof/>
            <w:sz w:val="22"/>
            <w:szCs w:val="22"/>
            <w:lang w:eastAsia="en-GB"/>
          </w:rPr>
          <w:tab/>
        </w:r>
        <w:r>
          <w:rPr>
            <w:rStyle w:val="Hyperlink"/>
            <w:noProof/>
          </w:rPr>
          <w:t>intellectual p</w:t>
        </w:r>
        <w:r>
          <w:rPr>
            <w:rStyle w:val="Hyperlink"/>
            <w:noProof/>
          </w:rPr>
          <w:t>roperty</w:t>
        </w:r>
        <w:r>
          <w:rPr>
            <w:noProof/>
            <w:webHidden/>
          </w:rPr>
          <w:tab/>
        </w:r>
        <w:r>
          <w:rPr>
            <w:noProof/>
            <w:webHidden/>
          </w:rPr>
          <w:fldChar w:fldCharType="begin"/>
        </w:r>
        <w:r>
          <w:rPr>
            <w:noProof/>
            <w:webHidden/>
          </w:rPr>
          <w:instrText xml:space="preserve"> PAGEREF _Toc8389571 \h </w:instrText>
        </w:r>
        <w:r>
          <w:rPr>
            <w:noProof/>
            <w:webHidden/>
          </w:rPr>
        </w:r>
        <w:r>
          <w:rPr>
            <w:noProof/>
            <w:webHidden/>
          </w:rPr>
          <w:fldChar w:fldCharType="separate"/>
        </w:r>
        <w:r>
          <w:rPr>
            <w:noProof/>
            <w:webHidden/>
          </w:rPr>
          <w:t>12</w:t>
        </w:r>
        <w:r>
          <w:rPr>
            <w:noProof/>
            <w:webHidden/>
          </w:rPr>
          <w:fldChar w:fldCharType="end"/>
        </w:r>
      </w:hyperlink>
    </w:p>
    <w:p w14:paraId="3DF704CC"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2" w:history="1">
        <w:r>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caps w:val="0"/>
            <w:noProof/>
            <w:sz w:val="22"/>
            <w:szCs w:val="22"/>
            <w:lang w:eastAsia="en-GB"/>
          </w:rPr>
          <w:tab/>
        </w:r>
        <w:r>
          <w:rPr>
            <w:rStyle w:val="Hyperlink"/>
            <w:noProof/>
          </w:rPr>
          <w:t>TERMINATION</w:t>
        </w:r>
        <w:r>
          <w:rPr>
            <w:noProof/>
            <w:webHidden/>
          </w:rPr>
          <w:tab/>
        </w:r>
        <w:r>
          <w:rPr>
            <w:noProof/>
            <w:webHidden/>
          </w:rPr>
          <w:fldChar w:fldCharType="begin"/>
        </w:r>
        <w:r>
          <w:rPr>
            <w:noProof/>
            <w:webHidden/>
          </w:rPr>
          <w:instrText xml:space="preserve"> PAGEREF _Toc8389572 \h </w:instrText>
        </w:r>
        <w:r>
          <w:rPr>
            <w:noProof/>
            <w:webHidden/>
          </w:rPr>
        </w:r>
        <w:r>
          <w:rPr>
            <w:noProof/>
            <w:webHidden/>
          </w:rPr>
          <w:fldChar w:fldCharType="separate"/>
        </w:r>
        <w:r>
          <w:rPr>
            <w:noProof/>
            <w:webHidden/>
          </w:rPr>
          <w:t>12</w:t>
        </w:r>
        <w:r>
          <w:rPr>
            <w:noProof/>
            <w:webHidden/>
          </w:rPr>
          <w:fldChar w:fldCharType="end"/>
        </w:r>
      </w:hyperlink>
    </w:p>
    <w:p w14:paraId="487FE412"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3" w:history="1">
        <w:r>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caps w:val="0"/>
            <w:noProof/>
            <w:sz w:val="22"/>
            <w:szCs w:val="22"/>
            <w:lang w:eastAsia="en-GB"/>
          </w:rPr>
          <w:tab/>
        </w:r>
        <w:r>
          <w:rPr>
            <w:rStyle w:val="Hyperlink"/>
            <w:noProof/>
          </w:rPr>
          <w:t>CONSEQUENCES OF TERMINATION</w:t>
        </w:r>
        <w:r>
          <w:rPr>
            <w:noProof/>
            <w:webHidden/>
          </w:rPr>
          <w:tab/>
        </w:r>
        <w:r>
          <w:rPr>
            <w:noProof/>
            <w:webHidden/>
          </w:rPr>
          <w:fldChar w:fldCharType="begin"/>
        </w:r>
        <w:r>
          <w:rPr>
            <w:noProof/>
            <w:webHidden/>
          </w:rPr>
          <w:instrText xml:space="preserve"> PAGEREF _Toc8389573 \h </w:instrText>
        </w:r>
        <w:r>
          <w:rPr>
            <w:noProof/>
            <w:webHidden/>
          </w:rPr>
        </w:r>
        <w:r>
          <w:rPr>
            <w:noProof/>
            <w:webHidden/>
          </w:rPr>
          <w:fldChar w:fldCharType="separate"/>
        </w:r>
        <w:r>
          <w:rPr>
            <w:noProof/>
            <w:webHidden/>
          </w:rPr>
          <w:t>13</w:t>
        </w:r>
        <w:r>
          <w:rPr>
            <w:noProof/>
            <w:webHidden/>
          </w:rPr>
          <w:fldChar w:fldCharType="end"/>
        </w:r>
      </w:hyperlink>
    </w:p>
    <w:p w14:paraId="6D5D57D5"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4" w:history="1">
        <w:r>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caps w:val="0"/>
            <w:noProof/>
            <w:sz w:val="22"/>
            <w:szCs w:val="22"/>
            <w:lang w:eastAsia="en-GB"/>
          </w:rPr>
          <w:tab/>
        </w:r>
        <w:r>
          <w:rPr>
            <w:rStyle w:val="Hyperlink"/>
            <w:noProof/>
          </w:rPr>
          <w:t>LIMITATION OF LIABILITY</w:t>
        </w:r>
        <w:r>
          <w:rPr>
            <w:noProof/>
            <w:webHidden/>
          </w:rPr>
          <w:tab/>
        </w:r>
        <w:r>
          <w:rPr>
            <w:noProof/>
            <w:webHidden/>
          </w:rPr>
          <w:fldChar w:fldCharType="begin"/>
        </w:r>
        <w:r>
          <w:rPr>
            <w:noProof/>
            <w:webHidden/>
          </w:rPr>
          <w:instrText xml:space="preserve"> PAGEREF _Toc8389574 \h </w:instrText>
        </w:r>
        <w:r>
          <w:rPr>
            <w:noProof/>
            <w:webHidden/>
          </w:rPr>
        </w:r>
        <w:r>
          <w:rPr>
            <w:noProof/>
            <w:webHidden/>
          </w:rPr>
          <w:fldChar w:fldCharType="separate"/>
        </w:r>
        <w:r>
          <w:rPr>
            <w:noProof/>
            <w:webHidden/>
          </w:rPr>
          <w:t>13</w:t>
        </w:r>
        <w:r>
          <w:rPr>
            <w:noProof/>
            <w:webHidden/>
          </w:rPr>
          <w:fldChar w:fldCharType="end"/>
        </w:r>
      </w:hyperlink>
    </w:p>
    <w:p w14:paraId="30FF89A8"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5" w:history="1">
        <w:r>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caps w:val="0"/>
            <w:noProof/>
            <w:sz w:val="22"/>
            <w:szCs w:val="22"/>
            <w:lang w:eastAsia="en-GB"/>
          </w:rPr>
          <w:tab/>
        </w:r>
        <w:r>
          <w:rPr>
            <w:rStyle w:val="Hyperlink"/>
            <w:noProof/>
          </w:rPr>
          <w:t xml:space="preserve">FORCE </w:t>
        </w:r>
        <w:r>
          <w:rPr>
            <w:rStyle w:val="Hyperlink"/>
            <w:noProof/>
          </w:rPr>
          <w:t>MAJEURE</w:t>
        </w:r>
        <w:r>
          <w:rPr>
            <w:noProof/>
            <w:webHidden/>
          </w:rPr>
          <w:tab/>
        </w:r>
        <w:r>
          <w:rPr>
            <w:noProof/>
            <w:webHidden/>
          </w:rPr>
          <w:fldChar w:fldCharType="begin"/>
        </w:r>
        <w:r>
          <w:rPr>
            <w:noProof/>
            <w:webHidden/>
          </w:rPr>
          <w:instrText xml:space="preserve"> PAGEREF _Toc8389575 \h </w:instrText>
        </w:r>
        <w:r>
          <w:rPr>
            <w:noProof/>
            <w:webHidden/>
          </w:rPr>
        </w:r>
        <w:r>
          <w:rPr>
            <w:noProof/>
            <w:webHidden/>
          </w:rPr>
          <w:fldChar w:fldCharType="separate"/>
        </w:r>
        <w:r>
          <w:rPr>
            <w:noProof/>
            <w:webHidden/>
          </w:rPr>
          <w:t>13</w:t>
        </w:r>
        <w:r>
          <w:rPr>
            <w:noProof/>
            <w:webHidden/>
          </w:rPr>
          <w:fldChar w:fldCharType="end"/>
        </w:r>
      </w:hyperlink>
    </w:p>
    <w:p w14:paraId="5650AE7F"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6" w:history="1">
        <w:r>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caps w:val="0"/>
            <w:noProof/>
            <w:sz w:val="22"/>
            <w:szCs w:val="22"/>
            <w:lang w:eastAsia="en-GB"/>
          </w:rPr>
          <w:tab/>
        </w:r>
        <w:r>
          <w:rPr>
            <w:rStyle w:val="Hyperlink"/>
            <w:noProof/>
          </w:rPr>
          <w:t>NOTICES</w:t>
        </w:r>
        <w:r>
          <w:rPr>
            <w:noProof/>
            <w:webHidden/>
          </w:rPr>
          <w:tab/>
        </w:r>
        <w:r>
          <w:rPr>
            <w:noProof/>
            <w:webHidden/>
          </w:rPr>
          <w:fldChar w:fldCharType="begin"/>
        </w:r>
        <w:r>
          <w:rPr>
            <w:noProof/>
            <w:webHidden/>
          </w:rPr>
          <w:instrText xml:space="preserve"> PAGEREF _Toc8389576 \h </w:instrText>
        </w:r>
        <w:r>
          <w:rPr>
            <w:noProof/>
            <w:webHidden/>
          </w:rPr>
        </w:r>
        <w:r>
          <w:rPr>
            <w:noProof/>
            <w:webHidden/>
          </w:rPr>
          <w:fldChar w:fldCharType="separate"/>
        </w:r>
        <w:r>
          <w:rPr>
            <w:noProof/>
            <w:webHidden/>
          </w:rPr>
          <w:t>14</w:t>
        </w:r>
        <w:r>
          <w:rPr>
            <w:noProof/>
            <w:webHidden/>
          </w:rPr>
          <w:fldChar w:fldCharType="end"/>
        </w:r>
      </w:hyperlink>
    </w:p>
    <w:p w14:paraId="70432E60"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7" w:history="1">
        <w:r>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caps w:val="0"/>
            <w:noProof/>
            <w:sz w:val="22"/>
            <w:szCs w:val="22"/>
            <w:lang w:eastAsia="en-GB"/>
          </w:rPr>
          <w:tab/>
        </w:r>
        <w:r>
          <w:rPr>
            <w:rStyle w:val="Hyperlink"/>
            <w:noProof/>
          </w:rPr>
          <w:t>DISPUTE RESOLUTION</w:t>
        </w:r>
        <w:r>
          <w:rPr>
            <w:noProof/>
            <w:webHidden/>
          </w:rPr>
          <w:tab/>
        </w:r>
        <w:r>
          <w:rPr>
            <w:noProof/>
            <w:webHidden/>
          </w:rPr>
          <w:fldChar w:fldCharType="begin"/>
        </w:r>
        <w:r>
          <w:rPr>
            <w:noProof/>
            <w:webHidden/>
          </w:rPr>
          <w:instrText xml:space="preserve"> PAGEREF _Toc8389577 \h </w:instrText>
        </w:r>
        <w:r>
          <w:rPr>
            <w:noProof/>
            <w:webHidden/>
          </w:rPr>
        </w:r>
        <w:r>
          <w:rPr>
            <w:noProof/>
            <w:webHidden/>
          </w:rPr>
          <w:fldChar w:fldCharType="separate"/>
        </w:r>
        <w:r>
          <w:rPr>
            <w:noProof/>
            <w:webHidden/>
          </w:rPr>
          <w:t>15</w:t>
        </w:r>
        <w:r>
          <w:rPr>
            <w:noProof/>
            <w:webHidden/>
          </w:rPr>
          <w:fldChar w:fldCharType="end"/>
        </w:r>
      </w:hyperlink>
    </w:p>
    <w:p w14:paraId="5C571CD3"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8" w:history="1">
        <w:r>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caps w:val="0"/>
            <w:noProof/>
            <w:sz w:val="22"/>
            <w:szCs w:val="22"/>
            <w:lang w:eastAsia="en-GB"/>
          </w:rPr>
          <w:tab/>
        </w:r>
        <w:r>
          <w:rPr>
            <w:rStyle w:val="Hyperlink"/>
            <w:noProof/>
          </w:rPr>
          <w:t>WAIVER</w:t>
        </w:r>
        <w:r>
          <w:rPr>
            <w:noProof/>
            <w:webHidden/>
          </w:rPr>
          <w:tab/>
        </w:r>
        <w:r>
          <w:rPr>
            <w:noProof/>
            <w:webHidden/>
          </w:rPr>
          <w:fldChar w:fldCharType="begin"/>
        </w:r>
        <w:r>
          <w:rPr>
            <w:noProof/>
            <w:webHidden/>
          </w:rPr>
          <w:instrText xml:space="preserve"> PAGEREF _Toc8389578 \h </w:instrText>
        </w:r>
        <w:r>
          <w:rPr>
            <w:noProof/>
            <w:webHidden/>
          </w:rPr>
        </w:r>
        <w:r>
          <w:rPr>
            <w:noProof/>
            <w:webHidden/>
          </w:rPr>
          <w:fldChar w:fldCharType="separate"/>
        </w:r>
        <w:r>
          <w:rPr>
            <w:noProof/>
            <w:webHidden/>
          </w:rPr>
          <w:t>16</w:t>
        </w:r>
        <w:r>
          <w:rPr>
            <w:noProof/>
            <w:webHidden/>
          </w:rPr>
          <w:fldChar w:fldCharType="end"/>
        </w:r>
      </w:hyperlink>
    </w:p>
    <w:p w14:paraId="14F99F8D"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79" w:history="1">
        <w:r>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caps w:val="0"/>
            <w:noProof/>
            <w:sz w:val="22"/>
            <w:szCs w:val="22"/>
            <w:lang w:eastAsia="en-GB"/>
          </w:rPr>
          <w:tab/>
        </w:r>
        <w:r>
          <w:rPr>
            <w:rStyle w:val="Hyperlink"/>
            <w:noProof/>
          </w:rPr>
          <w:t>CUMULATIVE REMEDIES</w:t>
        </w:r>
        <w:r>
          <w:rPr>
            <w:noProof/>
            <w:webHidden/>
          </w:rPr>
          <w:tab/>
        </w:r>
        <w:r>
          <w:rPr>
            <w:noProof/>
            <w:webHidden/>
          </w:rPr>
          <w:fldChar w:fldCharType="begin"/>
        </w:r>
        <w:r>
          <w:rPr>
            <w:noProof/>
            <w:webHidden/>
          </w:rPr>
          <w:instrText xml:space="preserve"> PAGEREF _Toc8389579 \h </w:instrText>
        </w:r>
        <w:r>
          <w:rPr>
            <w:noProof/>
            <w:webHidden/>
          </w:rPr>
        </w:r>
        <w:r>
          <w:rPr>
            <w:noProof/>
            <w:webHidden/>
          </w:rPr>
          <w:fldChar w:fldCharType="separate"/>
        </w:r>
        <w:r>
          <w:rPr>
            <w:noProof/>
            <w:webHidden/>
          </w:rPr>
          <w:t>16</w:t>
        </w:r>
        <w:r>
          <w:rPr>
            <w:noProof/>
            <w:webHidden/>
          </w:rPr>
          <w:fldChar w:fldCharType="end"/>
        </w:r>
      </w:hyperlink>
    </w:p>
    <w:p w14:paraId="476A8FFB"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0" w:history="1">
        <w:r>
          <w:rPr>
            <w:rStyle w:val="Hyperlink"/>
            <w:noProof/>
            <w14:scene3d>
              <w14:camera w14:prst="orthographicFront"/>
              <w14:lightRig w14:rig="threePt" w14:dir="t">
                <w14:rot w14:lat="0" w14:lon="0" w14:rev="0"/>
              </w14:lightRig>
            </w14:scene3d>
          </w:rPr>
          <w:t>20.</w:t>
        </w:r>
        <w:r>
          <w:rPr>
            <w:rFonts w:asciiTheme="minorHAnsi" w:eastAsiaTheme="minorEastAsia" w:hAnsiTheme="minorHAnsi" w:cstheme="minorBidi"/>
            <w:caps w:val="0"/>
            <w:noProof/>
            <w:sz w:val="22"/>
            <w:szCs w:val="22"/>
            <w:lang w:eastAsia="en-GB"/>
          </w:rPr>
          <w:tab/>
        </w:r>
        <w:r>
          <w:rPr>
            <w:rStyle w:val="Hyperlink"/>
            <w:noProof/>
          </w:rPr>
          <w:t>RELATIONSHIP OF THE PARTIES</w:t>
        </w:r>
        <w:r>
          <w:rPr>
            <w:noProof/>
            <w:webHidden/>
          </w:rPr>
          <w:tab/>
        </w:r>
        <w:r>
          <w:rPr>
            <w:noProof/>
            <w:webHidden/>
          </w:rPr>
          <w:fldChar w:fldCharType="begin"/>
        </w:r>
        <w:r>
          <w:rPr>
            <w:noProof/>
            <w:webHidden/>
          </w:rPr>
          <w:instrText xml:space="preserve"> PAGEREF _Toc8389580 \h </w:instrText>
        </w:r>
        <w:r>
          <w:rPr>
            <w:noProof/>
            <w:webHidden/>
          </w:rPr>
        </w:r>
        <w:r>
          <w:rPr>
            <w:noProof/>
            <w:webHidden/>
          </w:rPr>
          <w:fldChar w:fldCharType="separate"/>
        </w:r>
        <w:r>
          <w:rPr>
            <w:noProof/>
            <w:webHidden/>
          </w:rPr>
          <w:t>16</w:t>
        </w:r>
        <w:r>
          <w:rPr>
            <w:noProof/>
            <w:webHidden/>
          </w:rPr>
          <w:fldChar w:fldCharType="end"/>
        </w:r>
      </w:hyperlink>
    </w:p>
    <w:p w14:paraId="5E226D05"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1" w:history="1">
        <w:r>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caps w:val="0"/>
            <w:noProof/>
            <w:sz w:val="22"/>
            <w:szCs w:val="22"/>
            <w:lang w:eastAsia="en-GB"/>
          </w:rPr>
          <w:tab/>
        </w:r>
        <w:r>
          <w:rPr>
            <w:rStyle w:val="Hyperlink"/>
            <w:noProof/>
          </w:rPr>
          <w:t>FU</w:t>
        </w:r>
        <w:r>
          <w:rPr>
            <w:rStyle w:val="Hyperlink"/>
            <w:noProof/>
          </w:rPr>
          <w:t>RTHER ASSURANCE</w:t>
        </w:r>
        <w:r>
          <w:rPr>
            <w:noProof/>
            <w:webHidden/>
          </w:rPr>
          <w:tab/>
        </w:r>
        <w:r>
          <w:rPr>
            <w:noProof/>
            <w:webHidden/>
          </w:rPr>
          <w:fldChar w:fldCharType="begin"/>
        </w:r>
        <w:r>
          <w:rPr>
            <w:noProof/>
            <w:webHidden/>
          </w:rPr>
          <w:instrText xml:space="preserve"> PAGEREF _Toc8389581 \h </w:instrText>
        </w:r>
        <w:r>
          <w:rPr>
            <w:noProof/>
            <w:webHidden/>
          </w:rPr>
        </w:r>
        <w:r>
          <w:rPr>
            <w:noProof/>
            <w:webHidden/>
          </w:rPr>
          <w:fldChar w:fldCharType="separate"/>
        </w:r>
        <w:r>
          <w:rPr>
            <w:noProof/>
            <w:webHidden/>
          </w:rPr>
          <w:t>16</w:t>
        </w:r>
        <w:r>
          <w:rPr>
            <w:noProof/>
            <w:webHidden/>
          </w:rPr>
          <w:fldChar w:fldCharType="end"/>
        </w:r>
      </w:hyperlink>
    </w:p>
    <w:p w14:paraId="69BD34AD"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2" w:history="1">
        <w:r>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caps w:val="0"/>
            <w:noProof/>
            <w:sz w:val="22"/>
            <w:szCs w:val="22"/>
            <w:lang w:eastAsia="en-GB"/>
          </w:rPr>
          <w:tab/>
        </w:r>
        <w:r>
          <w:rPr>
            <w:rStyle w:val="Hyperlink"/>
            <w:noProof/>
          </w:rPr>
          <w:t>SEVERANCE</w:t>
        </w:r>
        <w:r>
          <w:rPr>
            <w:noProof/>
            <w:webHidden/>
          </w:rPr>
          <w:tab/>
        </w:r>
        <w:r>
          <w:rPr>
            <w:noProof/>
            <w:webHidden/>
          </w:rPr>
          <w:fldChar w:fldCharType="begin"/>
        </w:r>
        <w:r>
          <w:rPr>
            <w:noProof/>
            <w:webHidden/>
          </w:rPr>
          <w:instrText xml:space="preserve"> PAGEREF _Toc8389582 \h </w:instrText>
        </w:r>
        <w:r>
          <w:rPr>
            <w:noProof/>
            <w:webHidden/>
          </w:rPr>
        </w:r>
        <w:r>
          <w:rPr>
            <w:noProof/>
            <w:webHidden/>
          </w:rPr>
          <w:fldChar w:fldCharType="separate"/>
        </w:r>
        <w:r>
          <w:rPr>
            <w:noProof/>
            <w:webHidden/>
          </w:rPr>
          <w:t>16</w:t>
        </w:r>
        <w:r>
          <w:rPr>
            <w:noProof/>
            <w:webHidden/>
          </w:rPr>
          <w:fldChar w:fldCharType="end"/>
        </w:r>
      </w:hyperlink>
    </w:p>
    <w:p w14:paraId="1A9AC537"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3" w:history="1">
        <w:r>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caps w:val="0"/>
            <w:noProof/>
            <w:sz w:val="22"/>
            <w:szCs w:val="22"/>
            <w:lang w:eastAsia="en-GB"/>
          </w:rPr>
          <w:tab/>
        </w:r>
        <w:r>
          <w:rPr>
            <w:rStyle w:val="Hyperlink"/>
            <w:noProof/>
          </w:rPr>
          <w:t>THIRD PARTY RIGHTS</w:t>
        </w:r>
        <w:r>
          <w:rPr>
            <w:noProof/>
            <w:webHidden/>
          </w:rPr>
          <w:tab/>
        </w:r>
        <w:r>
          <w:rPr>
            <w:noProof/>
            <w:webHidden/>
          </w:rPr>
          <w:fldChar w:fldCharType="begin"/>
        </w:r>
        <w:r>
          <w:rPr>
            <w:noProof/>
            <w:webHidden/>
          </w:rPr>
          <w:instrText xml:space="preserve"> PAGEREF _Toc8389583 \h </w:instrText>
        </w:r>
        <w:r>
          <w:rPr>
            <w:noProof/>
            <w:webHidden/>
          </w:rPr>
        </w:r>
        <w:r>
          <w:rPr>
            <w:noProof/>
            <w:webHidden/>
          </w:rPr>
          <w:fldChar w:fldCharType="separate"/>
        </w:r>
        <w:r>
          <w:rPr>
            <w:noProof/>
            <w:webHidden/>
          </w:rPr>
          <w:t>16</w:t>
        </w:r>
        <w:r>
          <w:rPr>
            <w:noProof/>
            <w:webHidden/>
          </w:rPr>
          <w:fldChar w:fldCharType="end"/>
        </w:r>
      </w:hyperlink>
    </w:p>
    <w:p w14:paraId="3E8C85D4"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4" w:history="1">
        <w:r>
          <w:rPr>
            <w:rStyle w:val="Hyperlink"/>
            <w:noProof/>
            <w14:scene3d>
              <w14:camera w14:prst="orthographicFront"/>
              <w14:lightRig w14:rig="threePt" w14:dir="t">
                <w14:rot w14:lat="0" w14:lon="0" w14:rev="0"/>
              </w14:lightRig>
            </w14:scene3d>
          </w:rPr>
          <w:t>24.</w:t>
        </w:r>
        <w:r>
          <w:rPr>
            <w:rFonts w:asciiTheme="minorHAnsi" w:eastAsiaTheme="minorEastAsia" w:hAnsiTheme="minorHAnsi" w:cstheme="minorBidi"/>
            <w:caps w:val="0"/>
            <w:noProof/>
            <w:sz w:val="22"/>
            <w:szCs w:val="22"/>
            <w:lang w:eastAsia="en-GB"/>
          </w:rPr>
          <w:tab/>
        </w:r>
        <w:r>
          <w:rPr>
            <w:rStyle w:val="Hyperlink"/>
            <w:noProof/>
          </w:rPr>
          <w:t>VARIATION</w:t>
        </w:r>
        <w:r>
          <w:rPr>
            <w:noProof/>
            <w:webHidden/>
          </w:rPr>
          <w:tab/>
        </w:r>
        <w:r>
          <w:rPr>
            <w:noProof/>
            <w:webHidden/>
          </w:rPr>
          <w:fldChar w:fldCharType="begin"/>
        </w:r>
        <w:r>
          <w:rPr>
            <w:noProof/>
            <w:webHidden/>
          </w:rPr>
          <w:instrText xml:space="preserve"> P</w:instrText>
        </w:r>
        <w:r>
          <w:rPr>
            <w:noProof/>
            <w:webHidden/>
          </w:rPr>
          <w:instrText xml:space="preserve">AGEREF _Toc8389584 \h </w:instrText>
        </w:r>
        <w:r>
          <w:rPr>
            <w:noProof/>
            <w:webHidden/>
          </w:rPr>
        </w:r>
        <w:r>
          <w:rPr>
            <w:noProof/>
            <w:webHidden/>
          </w:rPr>
          <w:fldChar w:fldCharType="separate"/>
        </w:r>
        <w:r>
          <w:rPr>
            <w:noProof/>
            <w:webHidden/>
          </w:rPr>
          <w:t>16</w:t>
        </w:r>
        <w:r>
          <w:rPr>
            <w:noProof/>
            <w:webHidden/>
          </w:rPr>
          <w:fldChar w:fldCharType="end"/>
        </w:r>
      </w:hyperlink>
    </w:p>
    <w:p w14:paraId="2FF6EE5B"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5" w:history="1">
        <w:r>
          <w:rPr>
            <w:rStyle w:val="Hyperlink"/>
            <w:noProof/>
            <w14:scene3d>
              <w14:camera w14:prst="orthographicFront"/>
              <w14:lightRig w14:rig="threePt" w14:dir="t">
                <w14:rot w14:lat="0" w14:lon="0" w14:rev="0"/>
              </w14:lightRig>
            </w14:scene3d>
          </w:rPr>
          <w:t>25.</w:t>
        </w:r>
        <w:r>
          <w:rPr>
            <w:rFonts w:asciiTheme="minorHAnsi" w:eastAsiaTheme="minorEastAsia" w:hAnsiTheme="minorHAnsi" w:cstheme="minorBidi"/>
            <w:caps w:val="0"/>
            <w:noProof/>
            <w:sz w:val="22"/>
            <w:szCs w:val="22"/>
            <w:lang w:eastAsia="en-GB"/>
          </w:rPr>
          <w:tab/>
        </w:r>
        <w:r>
          <w:rPr>
            <w:rStyle w:val="Hyperlink"/>
            <w:noProof/>
          </w:rPr>
          <w:t>ENTIRE AGREEMENT</w:t>
        </w:r>
        <w:r>
          <w:rPr>
            <w:noProof/>
            <w:webHidden/>
          </w:rPr>
          <w:tab/>
        </w:r>
        <w:r>
          <w:rPr>
            <w:noProof/>
            <w:webHidden/>
          </w:rPr>
          <w:fldChar w:fldCharType="begin"/>
        </w:r>
        <w:r>
          <w:rPr>
            <w:noProof/>
            <w:webHidden/>
          </w:rPr>
          <w:instrText xml:space="preserve"> PAGEREF _Toc8389585 \h </w:instrText>
        </w:r>
        <w:r>
          <w:rPr>
            <w:noProof/>
            <w:webHidden/>
          </w:rPr>
        </w:r>
        <w:r>
          <w:rPr>
            <w:noProof/>
            <w:webHidden/>
          </w:rPr>
          <w:fldChar w:fldCharType="separate"/>
        </w:r>
        <w:r>
          <w:rPr>
            <w:noProof/>
            <w:webHidden/>
          </w:rPr>
          <w:t>17</w:t>
        </w:r>
        <w:r>
          <w:rPr>
            <w:noProof/>
            <w:webHidden/>
          </w:rPr>
          <w:fldChar w:fldCharType="end"/>
        </w:r>
      </w:hyperlink>
    </w:p>
    <w:p w14:paraId="2F22F8D1"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6" w:history="1">
        <w:r>
          <w:rPr>
            <w:rStyle w:val="Hyperlink"/>
            <w:noProof/>
            <w14:scene3d>
              <w14:camera w14:prst="orthographicFront"/>
              <w14:lightRig w14:rig="threePt" w14:dir="t">
                <w14:rot w14:lat="0" w14:lon="0" w14:rev="0"/>
              </w14:lightRig>
            </w14:scene3d>
          </w:rPr>
          <w:t>26.</w:t>
        </w:r>
        <w:r>
          <w:rPr>
            <w:rFonts w:asciiTheme="minorHAnsi" w:eastAsiaTheme="minorEastAsia" w:hAnsiTheme="minorHAnsi" w:cstheme="minorBidi"/>
            <w:caps w:val="0"/>
            <w:noProof/>
            <w:sz w:val="22"/>
            <w:szCs w:val="22"/>
            <w:lang w:eastAsia="en-GB"/>
          </w:rPr>
          <w:tab/>
        </w:r>
        <w:r>
          <w:rPr>
            <w:rStyle w:val="Hyperlink"/>
            <w:noProof/>
          </w:rPr>
          <w:t>COUNTERPARTS</w:t>
        </w:r>
        <w:r>
          <w:rPr>
            <w:noProof/>
            <w:webHidden/>
          </w:rPr>
          <w:tab/>
        </w:r>
        <w:r>
          <w:rPr>
            <w:noProof/>
            <w:webHidden/>
          </w:rPr>
          <w:fldChar w:fldCharType="begin"/>
        </w:r>
        <w:r>
          <w:rPr>
            <w:noProof/>
            <w:webHidden/>
          </w:rPr>
          <w:instrText xml:space="preserve"> PAGEREF _Toc8389586 \h </w:instrText>
        </w:r>
        <w:r>
          <w:rPr>
            <w:noProof/>
            <w:webHidden/>
          </w:rPr>
        </w:r>
        <w:r>
          <w:rPr>
            <w:noProof/>
            <w:webHidden/>
          </w:rPr>
          <w:fldChar w:fldCharType="separate"/>
        </w:r>
        <w:r>
          <w:rPr>
            <w:noProof/>
            <w:webHidden/>
          </w:rPr>
          <w:t>17</w:t>
        </w:r>
        <w:r>
          <w:rPr>
            <w:noProof/>
            <w:webHidden/>
          </w:rPr>
          <w:fldChar w:fldCharType="end"/>
        </w:r>
      </w:hyperlink>
    </w:p>
    <w:p w14:paraId="6BB04902"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7" w:history="1">
        <w:r>
          <w:rPr>
            <w:rStyle w:val="Hyperlink"/>
            <w:noProof/>
            <w14:scene3d>
              <w14:camera w14:prst="orthographicFront"/>
              <w14:lightRig w14:rig="threePt" w14:dir="t">
                <w14:rot w14:lat="0" w14:lon="0" w14:rev="0"/>
              </w14:lightRig>
            </w14:scene3d>
          </w:rPr>
          <w:t>27.</w:t>
        </w:r>
        <w:r>
          <w:rPr>
            <w:rFonts w:asciiTheme="minorHAnsi" w:eastAsiaTheme="minorEastAsia" w:hAnsiTheme="minorHAnsi" w:cstheme="minorBidi"/>
            <w:caps w:val="0"/>
            <w:noProof/>
            <w:sz w:val="22"/>
            <w:szCs w:val="22"/>
            <w:lang w:eastAsia="en-GB"/>
          </w:rPr>
          <w:tab/>
        </w:r>
        <w:r>
          <w:rPr>
            <w:rStyle w:val="Hyperlink"/>
            <w:noProof/>
          </w:rPr>
          <w:t>GOVERNING LAW AND JURISDICTION</w:t>
        </w:r>
        <w:r>
          <w:rPr>
            <w:noProof/>
            <w:webHidden/>
          </w:rPr>
          <w:tab/>
        </w:r>
        <w:r>
          <w:rPr>
            <w:noProof/>
            <w:webHidden/>
          </w:rPr>
          <w:fldChar w:fldCharType="begin"/>
        </w:r>
        <w:r>
          <w:rPr>
            <w:noProof/>
            <w:webHidden/>
          </w:rPr>
          <w:instrText xml:space="preserve"> PAGEREF _Toc8389587 \h </w:instrText>
        </w:r>
        <w:r>
          <w:rPr>
            <w:noProof/>
            <w:webHidden/>
          </w:rPr>
        </w:r>
        <w:r>
          <w:rPr>
            <w:noProof/>
            <w:webHidden/>
          </w:rPr>
          <w:fldChar w:fldCharType="separate"/>
        </w:r>
        <w:r>
          <w:rPr>
            <w:noProof/>
            <w:webHidden/>
          </w:rPr>
          <w:t>17</w:t>
        </w:r>
        <w:r>
          <w:rPr>
            <w:noProof/>
            <w:webHidden/>
          </w:rPr>
          <w:fldChar w:fldCharType="end"/>
        </w:r>
      </w:hyperlink>
    </w:p>
    <w:p w14:paraId="64EDBED2"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8" w:history="1">
        <w:r>
          <w:rPr>
            <w:rStyle w:val="Hyperlink"/>
            <w:noProof/>
          </w:rPr>
          <w:t>SCHEDULE 1: DEFINITIONS</w:t>
        </w:r>
        <w:r>
          <w:rPr>
            <w:noProof/>
            <w:webHidden/>
          </w:rPr>
          <w:tab/>
        </w:r>
        <w:r>
          <w:rPr>
            <w:noProof/>
            <w:webHidden/>
          </w:rPr>
          <w:fldChar w:fldCharType="begin"/>
        </w:r>
        <w:r>
          <w:rPr>
            <w:noProof/>
            <w:webHidden/>
          </w:rPr>
          <w:instrText xml:space="preserve"> PAGEREF _Toc8389588 \h </w:instrText>
        </w:r>
        <w:r>
          <w:rPr>
            <w:noProof/>
            <w:webHidden/>
          </w:rPr>
        </w:r>
        <w:r>
          <w:rPr>
            <w:noProof/>
            <w:webHidden/>
          </w:rPr>
          <w:fldChar w:fldCharType="separate"/>
        </w:r>
        <w:r>
          <w:rPr>
            <w:noProof/>
            <w:webHidden/>
          </w:rPr>
          <w:t>19</w:t>
        </w:r>
        <w:r>
          <w:rPr>
            <w:noProof/>
            <w:webHidden/>
          </w:rPr>
          <w:fldChar w:fldCharType="end"/>
        </w:r>
      </w:hyperlink>
    </w:p>
    <w:p w14:paraId="0FBE6A1D"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89" w:history="1">
        <w:r>
          <w:rPr>
            <w:rStyle w:val="Hyperlink"/>
            <w:noProof/>
          </w:rPr>
          <w:t>SCHEDULE 2: Interface SErvices</w:t>
        </w:r>
        <w:r>
          <w:rPr>
            <w:noProof/>
            <w:webHidden/>
          </w:rPr>
          <w:tab/>
        </w:r>
        <w:r>
          <w:rPr>
            <w:noProof/>
            <w:webHidden/>
          </w:rPr>
          <w:fldChar w:fldCharType="begin"/>
        </w:r>
        <w:r>
          <w:rPr>
            <w:noProof/>
            <w:webHidden/>
          </w:rPr>
          <w:instrText xml:space="preserve"> PAGE</w:instrText>
        </w:r>
        <w:r>
          <w:rPr>
            <w:noProof/>
            <w:webHidden/>
          </w:rPr>
          <w:instrText xml:space="preserve">REF _Toc8389589 \h </w:instrText>
        </w:r>
        <w:r>
          <w:rPr>
            <w:noProof/>
            <w:webHidden/>
          </w:rPr>
        </w:r>
        <w:r>
          <w:rPr>
            <w:noProof/>
            <w:webHidden/>
          </w:rPr>
          <w:fldChar w:fldCharType="separate"/>
        </w:r>
        <w:r>
          <w:rPr>
            <w:noProof/>
            <w:webHidden/>
          </w:rPr>
          <w:t>23</w:t>
        </w:r>
        <w:r>
          <w:rPr>
            <w:noProof/>
            <w:webHidden/>
          </w:rPr>
          <w:fldChar w:fldCharType="end"/>
        </w:r>
      </w:hyperlink>
    </w:p>
    <w:p w14:paraId="16F99CA0"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90" w:history="1">
        <w:r>
          <w:rPr>
            <w:rStyle w:val="Hyperlink"/>
            <w:noProof/>
          </w:rPr>
          <w:t>SCHEDULE 3: Supplier Conformance Assessment List (SCAL)</w:t>
        </w:r>
        <w:r>
          <w:rPr>
            <w:noProof/>
            <w:webHidden/>
          </w:rPr>
          <w:tab/>
        </w:r>
        <w:r>
          <w:rPr>
            <w:noProof/>
            <w:webHidden/>
          </w:rPr>
          <w:fldChar w:fldCharType="begin"/>
        </w:r>
        <w:r>
          <w:rPr>
            <w:noProof/>
            <w:webHidden/>
          </w:rPr>
          <w:instrText xml:space="preserve"> PAGEREF _Toc8389590 \h </w:instrText>
        </w:r>
        <w:r>
          <w:rPr>
            <w:noProof/>
            <w:webHidden/>
          </w:rPr>
        </w:r>
        <w:r>
          <w:rPr>
            <w:noProof/>
            <w:webHidden/>
          </w:rPr>
          <w:fldChar w:fldCharType="separate"/>
        </w:r>
        <w:r>
          <w:rPr>
            <w:noProof/>
            <w:webHidden/>
          </w:rPr>
          <w:t>24</w:t>
        </w:r>
        <w:r>
          <w:rPr>
            <w:noProof/>
            <w:webHidden/>
          </w:rPr>
          <w:fldChar w:fldCharType="end"/>
        </w:r>
      </w:hyperlink>
    </w:p>
    <w:p w14:paraId="00FA618C"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91" w:history="1">
        <w:r>
          <w:rPr>
            <w:rStyle w:val="Hyperlink"/>
            <w:noProof/>
          </w:rPr>
          <w:t>SCHEDULE 4: Charges</w:t>
        </w:r>
        <w:r>
          <w:rPr>
            <w:noProof/>
            <w:webHidden/>
          </w:rPr>
          <w:tab/>
        </w:r>
        <w:r>
          <w:rPr>
            <w:noProof/>
            <w:webHidden/>
          </w:rPr>
          <w:fldChar w:fldCharType="begin"/>
        </w:r>
        <w:r>
          <w:rPr>
            <w:noProof/>
            <w:webHidden/>
          </w:rPr>
          <w:instrText xml:space="preserve"> PAGEREF _Toc8389591 \h </w:instrText>
        </w:r>
        <w:r>
          <w:rPr>
            <w:noProof/>
            <w:webHidden/>
          </w:rPr>
        </w:r>
        <w:r>
          <w:rPr>
            <w:noProof/>
            <w:webHidden/>
          </w:rPr>
          <w:fldChar w:fldCharType="separate"/>
        </w:r>
        <w:r>
          <w:rPr>
            <w:noProof/>
            <w:webHidden/>
          </w:rPr>
          <w:t>25</w:t>
        </w:r>
        <w:r>
          <w:rPr>
            <w:noProof/>
            <w:webHidden/>
          </w:rPr>
          <w:fldChar w:fldCharType="end"/>
        </w:r>
      </w:hyperlink>
    </w:p>
    <w:p w14:paraId="207CECE9" w14:textId="77777777" w:rsidR="00B06F19" w:rsidRDefault="009A2766">
      <w:pPr>
        <w:pStyle w:val="TOC1"/>
        <w:rPr>
          <w:rFonts w:asciiTheme="minorHAnsi" w:eastAsiaTheme="minorEastAsia" w:hAnsiTheme="minorHAnsi" w:cstheme="minorBidi"/>
          <w:caps w:val="0"/>
          <w:noProof/>
          <w:sz w:val="22"/>
          <w:szCs w:val="22"/>
          <w:lang w:eastAsia="en-GB"/>
        </w:rPr>
      </w:pPr>
      <w:hyperlink w:anchor="_Toc8389592" w:history="1">
        <w:r>
          <w:rPr>
            <w:rStyle w:val="Hyperlink"/>
            <w:noProof/>
          </w:rPr>
          <w:t>SCHEDULE 5: Fair U</w:t>
        </w:r>
        <w:r>
          <w:rPr>
            <w:rStyle w:val="Hyperlink"/>
            <w:noProof/>
          </w:rPr>
          <w:t>sage Policy</w:t>
        </w:r>
        <w:r>
          <w:rPr>
            <w:noProof/>
            <w:webHidden/>
          </w:rPr>
          <w:tab/>
        </w:r>
        <w:r>
          <w:rPr>
            <w:noProof/>
            <w:webHidden/>
          </w:rPr>
          <w:fldChar w:fldCharType="begin"/>
        </w:r>
        <w:r>
          <w:rPr>
            <w:noProof/>
            <w:webHidden/>
          </w:rPr>
          <w:instrText xml:space="preserve"> PAGEREF _Toc8389592 \h </w:instrText>
        </w:r>
        <w:r>
          <w:rPr>
            <w:noProof/>
            <w:webHidden/>
          </w:rPr>
        </w:r>
        <w:r>
          <w:rPr>
            <w:noProof/>
            <w:webHidden/>
          </w:rPr>
          <w:fldChar w:fldCharType="separate"/>
        </w:r>
        <w:r>
          <w:rPr>
            <w:noProof/>
            <w:webHidden/>
          </w:rPr>
          <w:t>26</w:t>
        </w:r>
        <w:r>
          <w:rPr>
            <w:noProof/>
            <w:webHidden/>
          </w:rPr>
          <w:fldChar w:fldCharType="end"/>
        </w:r>
      </w:hyperlink>
    </w:p>
    <w:p w14:paraId="73997132" w14:textId="77777777" w:rsidR="00B06F19" w:rsidRDefault="009A2766">
      <w:pPr>
        <w:rPr>
          <w:rFonts w:ascii="Arial" w:hAnsi="Arial" w:cs="Arial"/>
          <w:sz w:val="20"/>
          <w:szCs w:val="20"/>
        </w:rPr>
      </w:pPr>
      <w:r>
        <w:rPr>
          <w:rFonts w:ascii="Arial" w:eastAsia="STZhongsong" w:hAnsi="Arial" w:cs="Arial"/>
          <w:caps/>
          <w:sz w:val="20"/>
          <w:szCs w:val="20"/>
          <w:lang w:eastAsia="zh-CN"/>
        </w:rPr>
        <w:fldChar w:fldCharType="end"/>
      </w:r>
    </w:p>
    <w:p w14:paraId="60988C9A" w14:textId="77777777" w:rsidR="00B06F19" w:rsidRDefault="00B06F19">
      <w:pPr>
        <w:pStyle w:val="bodyspaced"/>
        <w:keepNext/>
        <w:tabs>
          <w:tab w:val="right" w:pos="8998"/>
        </w:tabs>
        <w:jc w:val="both"/>
        <w:rPr>
          <w:rStyle w:val="bodystrongerChar"/>
          <w:rFonts w:ascii="Arial" w:hAnsi="Arial" w:cs="Arial"/>
          <w:sz w:val="20"/>
          <w:szCs w:val="20"/>
        </w:rPr>
        <w:sectPr w:rsidR="00B06F19">
          <w:footerReference w:type="default" r:id="rId11"/>
          <w:pgSz w:w="11900" w:h="16840"/>
          <w:pgMar w:top="1440" w:right="1440" w:bottom="1440" w:left="1440" w:header="708" w:footer="708" w:gutter="0"/>
          <w:pgNumType w:start="1"/>
          <w:cols w:space="708"/>
          <w:docGrid w:linePitch="360"/>
        </w:sectPr>
      </w:pPr>
    </w:p>
    <w:p w14:paraId="5756D4B9" w14:textId="77777777" w:rsidR="00B06F19" w:rsidRDefault="009A2766">
      <w:pPr>
        <w:pStyle w:val="bodyspaced"/>
        <w:keepNext/>
        <w:tabs>
          <w:tab w:val="right" w:pos="8998"/>
        </w:tabs>
        <w:jc w:val="both"/>
        <w:rPr>
          <w:rFonts w:ascii="Arial" w:hAnsi="Arial" w:cs="Arial"/>
          <w:sz w:val="20"/>
          <w:szCs w:val="20"/>
        </w:rPr>
      </w:pPr>
      <w:r>
        <w:rPr>
          <w:rStyle w:val="bodystrongerChar"/>
          <w:rFonts w:ascii="Arial" w:hAnsi="Arial" w:cs="Arial"/>
          <w:sz w:val="20"/>
          <w:szCs w:val="20"/>
        </w:rPr>
        <w:lastRenderedPageBreak/>
        <w:t xml:space="preserve">This </w:t>
      </w:r>
      <w:bookmarkStart w:id="26" w:name="bmDocumentType_1"/>
      <w:r>
        <w:rPr>
          <w:rStyle w:val="bodystrongerChar"/>
          <w:rFonts w:ascii="Arial" w:hAnsi="Arial" w:cs="Arial"/>
          <w:sz w:val="20"/>
          <w:szCs w:val="20"/>
        </w:rPr>
        <w:t>Agreement</w:t>
      </w:r>
      <w:bookmarkEnd w:id="26"/>
      <w:r>
        <w:rPr>
          <w:rStyle w:val="bodyChar"/>
          <w:rFonts w:ascii="Arial" w:hAnsi="Arial" w:cs="Arial"/>
          <w:sz w:val="20"/>
          <w:szCs w:val="20"/>
        </w:rPr>
        <w:t xml:space="preserve"> </w:t>
      </w:r>
      <w:r>
        <w:rPr>
          <w:rFonts w:ascii="Arial" w:hAnsi="Arial" w:cs="Arial"/>
          <w:sz w:val="20"/>
          <w:szCs w:val="20"/>
        </w:rPr>
        <w:t xml:space="preserve">is made on </w:t>
      </w:r>
      <w:r>
        <w:rPr>
          <w:rFonts w:ascii="Arial" w:hAnsi="Arial" w:cs="Arial"/>
          <w:sz w:val="20"/>
          <w:szCs w:val="20"/>
        </w:rPr>
        <w:tab/>
        <w:t>20</w:t>
      </w:r>
      <w:r>
        <w:rPr>
          <w:rFonts w:ascii="Arial" w:hAnsi="Arial" w:cs="Arial"/>
          <w:sz w:val="20"/>
          <w:szCs w:val="20"/>
        </w:rPr>
        <w:sym w:font="Arial" w:char="F075"/>
      </w:r>
    </w:p>
    <w:p w14:paraId="392BA2CF" w14:textId="77777777" w:rsidR="00B06F19" w:rsidRDefault="009A2766">
      <w:pPr>
        <w:pStyle w:val="bodyspaced"/>
        <w:keepNext/>
        <w:jc w:val="both"/>
        <w:rPr>
          <w:rStyle w:val="bodystrongerChar"/>
          <w:rFonts w:ascii="Arial" w:hAnsi="Arial" w:cs="Arial"/>
          <w:sz w:val="20"/>
          <w:szCs w:val="20"/>
        </w:rPr>
      </w:pPr>
      <w:r>
        <w:rPr>
          <w:rStyle w:val="bodystrongerChar"/>
          <w:rFonts w:ascii="Arial" w:hAnsi="Arial" w:cs="Arial"/>
          <w:sz w:val="20"/>
          <w:szCs w:val="20"/>
        </w:rPr>
        <w:t xml:space="preserve">BETWEEN: </w:t>
      </w:r>
      <w:bookmarkStart w:id="27" w:name="bmParticulars"/>
      <w:bookmarkEnd w:id="27"/>
    </w:p>
    <w:p w14:paraId="5A11C4BA" w14:textId="77777777" w:rsidR="00B06F19" w:rsidRDefault="009A2766">
      <w:pPr>
        <w:pStyle w:val="bodypartyhead"/>
        <w:keepNext/>
        <w:jc w:val="both"/>
        <w:rPr>
          <w:rStyle w:val="MarginTextChar"/>
          <w:rFonts w:ascii="Arial" w:hAnsi="Arial" w:cs="Arial"/>
          <w:b w:val="0"/>
          <w:sz w:val="20"/>
        </w:rPr>
      </w:pPr>
      <w:bookmarkStart w:id="28" w:name="bmPartiesLower"/>
      <w:bookmarkEnd w:id="28"/>
      <w:r>
        <w:rPr>
          <w:rFonts w:ascii="Arial" w:hAnsi="Arial" w:cs="Arial"/>
          <w:sz w:val="20"/>
          <w:szCs w:val="20"/>
        </w:rPr>
        <w:t>(1)</w:t>
      </w:r>
      <w:r>
        <w:rPr>
          <w:rFonts w:ascii="Arial" w:hAnsi="Arial" w:cs="Arial"/>
          <w:sz w:val="20"/>
          <w:szCs w:val="20"/>
        </w:rPr>
        <w:tab/>
      </w:r>
      <w:r>
        <w:rPr>
          <w:rFonts w:ascii="Arial" w:hAnsi="Arial" w:cs="Arial"/>
          <w:sz w:val="20"/>
          <w:szCs w:val="20"/>
        </w:rPr>
        <w:sym w:font="Arial" w:char="F075"/>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Fonts w:ascii="Arial" w:hAnsi="Arial" w:cs="Arial"/>
          <w:sz w:val="20"/>
          <w:szCs w:val="20"/>
        </w:rPr>
        <w:sym w:font="Arial" w:char="00A0"/>
      </w:r>
      <w:r>
        <w:rPr>
          <w:rStyle w:val="MarginTextChar"/>
          <w:rFonts w:ascii="Arial" w:hAnsi="Arial" w:cs="Arial"/>
          <w:b w:val="0"/>
          <w:caps w:val="0"/>
          <w:sz w:val="20"/>
        </w:rPr>
        <w:t xml:space="preserve">a company incorporated and registered in [England and Wales] (company number </w:t>
      </w:r>
      <w:r>
        <w:rPr>
          <w:rStyle w:val="MarginTextChar"/>
          <w:rFonts w:ascii="Arial" w:hAnsi="Arial" w:cs="Arial"/>
          <w:b w:val="0"/>
          <w:caps w:val="0"/>
          <w:sz w:val="20"/>
        </w:rPr>
        <w:sym w:font="Arial" w:char="F075"/>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29"/>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77"/>
      </w:r>
      <w:r>
        <w:rPr>
          <w:rStyle w:val="MarginTextChar"/>
          <w:rFonts w:ascii="Arial" w:hAnsi="Arial" w:cs="Arial"/>
          <w:b w:val="0"/>
          <w:caps w:val="0"/>
          <w:sz w:val="20"/>
        </w:rPr>
        <w:sym w:font="Arial" w:char="0068"/>
      </w:r>
      <w:r>
        <w:rPr>
          <w:rStyle w:val="MarginTextChar"/>
          <w:rFonts w:ascii="Arial" w:hAnsi="Arial" w:cs="Arial"/>
          <w:b w:val="0"/>
          <w:caps w:val="0"/>
          <w:sz w:val="20"/>
        </w:rPr>
        <w:sym w:font="Arial" w:char="0069"/>
      </w:r>
      <w:r>
        <w:rPr>
          <w:rStyle w:val="MarginTextChar"/>
          <w:rFonts w:ascii="Arial" w:hAnsi="Arial" w:cs="Arial"/>
          <w:b w:val="0"/>
          <w:caps w:val="0"/>
          <w:sz w:val="20"/>
        </w:rPr>
        <w:sym w:font="Arial" w:char="0063"/>
      </w:r>
      <w:r>
        <w:rPr>
          <w:rStyle w:val="MarginTextChar"/>
          <w:rFonts w:ascii="Arial" w:hAnsi="Arial" w:cs="Arial"/>
          <w:b w:val="0"/>
          <w:caps w:val="0"/>
          <w:sz w:val="20"/>
        </w:rPr>
        <w:sym w:font="Arial" w:char="0068"/>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68"/>
      </w:r>
      <w:r>
        <w:rPr>
          <w:rStyle w:val="MarginTextChar"/>
          <w:rFonts w:ascii="Arial" w:hAnsi="Arial" w:cs="Arial"/>
          <w:b w:val="0"/>
          <w:caps w:val="0"/>
          <w:sz w:val="20"/>
        </w:rPr>
        <w:sym w:font="Arial" w:char="0061"/>
      </w:r>
      <w:r>
        <w:rPr>
          <w:rStyle w:val="MarginTextChar"/>
          <w:rFonts w:ascii="Arial" w:hAnsi="Arial" w:cs="Arial"/>
          <w:b w:val="0"/>
          <w:caps w:val="0"/>
          <w:sz w:val="20"/>
        </w:rPr>
        <w:sym w:font="Arial" w:char="0073"/>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69"/>
      </w:r>
      <w:r>
        <w:rPr>
          <w:rStyle w:val="MarginTextChar"/>
          <w:rFonts w:ascii="Arial" w:hAnsi="Arial" w:cs="Arial"/>
          <w:b w:val="0"/>
          <w:caps w:val="0"/>
          <w:sz w:val="20"/>
        </w:rPr>
        <w:sym w:font="Arial" w:char="0074"/>
      </w:r>
      <w:r>
        <w:rPr>
          <w:rStyle w:val="MarginTextChar"/>
          <w:rFonts w:ascii="Arial" w:hAnsi="Arial" w:cs="Arial"/>
          <w:b w:val="0"/>
          <w:caps w:val="0"/>
          <w:sz w:val="20"/>
        </w:rPr>
        <w:sym w:font="Arial" w:char="0073"/>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5B"/>
      </w:r>
      <w:r>
        <w:rPr>
          <w:rStyle w:val="MarginTextChar"/>
          <w:rFonts w:ascii="Arial" w:hAnsi="Arial" w:cs="Arial"/>
          <w:b w:val="0"/>
          <w:caps w:val="0"/>
          <w:sz w:val="20"/>
        </w:rPr>
        <w:sym w:font="Arial" w:char="0072"/>
      </w:r>
      <w:r>
        <w:rPr>
          <w:rStyle w:val="MarginTextChar"/>
          <w:rFonts w:ascii="Arial" w:hAnsi="Arial" w:cs="Arial"/>
          <w:b w:val="0"/>
          <w:caps w:val="0"/>
          <w:sz w:val="20"/>
        </w:rPr>
        <w:sym w:font="Arial" w:char="0065"/>
      </w:r>
      <w:r>
        <w:rPr>
          <w:rStyle w:val="MarginTextChar"/>
          <w:rFonts w:ascii="Arial" w:hAnsi="Arial" w:cs="Arial"/>
          <w:b w:val="0"/>
          <w:caps w:val="0"/>
          <w:sz w:val="20"/>
        </w:rPr>
        <w:sym w:font="Arial" w:char="0067"/>
      </w:r>
      <w:r>
        <w:rPr>
          <w:rStyle w:val="MarginTextChar"/>
          <w:rFonts w:ascii="Arial" w:hAnsi="Arial" w:cs="Arial"/>
          <w:b w:val="0"/>
          <w:caps w:val="0"/>
          <w:sz w:val="20"/>
        </w:rPr>
        <w:sym w:font="Arial" w:char="0069"/>
      </w:r>
      <w:r>
        <w:rPr>
          <w:rStyle w:val="MarginTextChar"/>
          <w:rFonts w:ascii="Arial" w:hAnsi="Arial" w:cs="Arial"/>
          <w:b w:val="0"/>
          <w:caps w:val="0"/>
          <w:sz w:val="20"/>
        </w:rPr>
        <w:sym w:font="Arial" w:char="0073"/>
      </w:r>
      <w:r>
        <w:rPr>
          <w:rStyle w:val="MarginTextChar"/>
          <w:rFonts w:ascii="Arial" w:hAnsi="Arial" w:cs="Arial"/>
          <w:b w:val="0"/>
          <w:caps w:val="0"/>
          <w:sz w:val="20"/>
        </w:rPr>
        <w:sym w:font="Arial" w:char="0074"/>
      </w:r>
      <w:r>
        <w:rPr>
          <w:rStyle w:val="MarginTextChar"/>
          <w:rFonts w:ascii="Arial" w:hAnsi="Arial" w:cs="Arial"/>
          <w:b w:val="0"/>
          <w:caps w:val="0"/>
          <w:sz w:val="20"/>
        </w:rPr>
        <w:sym w:font="Arial" w:char="0065"/>
      </w:r>
      <w:r>
        <w:rPr>
          <w:rStyle w:val="MarginTextChar"/>
          <w:rFonts w:ascii="Arial" w:hAnsi="Arial" w:cs="Arial"/>
          <w:b w:val="0"/>
          <w:caps w:val="0"/>
          <w:sz w:val="20"/>
        </w:rPr>
        <w:sym w:font="Arial" w:char="0072"/>
      </w:r>
      <w:r>
        <w:rPr>
          <w:rStyle w:val="MarginTextChar"/>
          <w:rFonts w:ascii="Arial" w:hAnsi="Arial" w:cs="Arial"/>
          <w:b w:val="0"/>
          <w:caps w:val="0"/>
          <w:sz w:val="20"/>
        </w:rPr>
        <w:sym w:font="Arial" w:char="0065"/>
      </w:r>
      <w:r>
        <w:rPr>
          <w:rStyle w:val="MarginTextChar"/>
          <w:rFonts w:ascii="Arial" w:hAnsi="Arial" w:cs="Arial"/>
          <w:b w:val="0"/>
          <w:caps w:val="0"/>
          <w:sz w:val="20"/>
        </w:rPr>
        <w:sym w:font="Arial" w:char="0064"/>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6F"/>
      </w:r>
      <w:r>
        <w:rPr>
          <w:rStyle w:val="MarginTextChar"/>
          <w:rFonts w:ascii="Arial" w:hAnsi="Arial" w:cs="Arial"/>
          <w:b w:val="0"/>
          <w:caps w:val="0"/>
          <w:sz w:val="20"/>
        </w:rPr>
        <w:sym w:font="Arial" w:char="0066"/>
      </w:r>
      <w:r>
        <w:rPr>
          <w:rStyle w:val="MarginTextChar"/>
          <w:rFonts w:ascii="Arial" w:hAnsi="Arial" w:cs="Arial"/>
          <w:b w:val="0"/>
          <w:caps w:val="0"/>
          <w:sz w:val="20"/>
        </w:rPr>
        <w:sym w:font="Arial" w:char="0066"/>
      </w:r>
      <w:r>
        <w:rPr>
          <w:rStyle w:val="MarginTextChar"/>
          <w:rFonts w:ascii="Arial" w:hAnsi="Arial" w:cs="Arial"/>
          <w:b w:val="0"/>
          <w:caps w:val="0"/>
          <w:sz w:val="20"/>
        </w:rPr>
        <w:sym w:font="Arial" w:char="0069"/>
      </w:r>
      <w:r>
        <w:rPr>
          <w:rStyle w:val="MarginTextChar"/>
          <w:rFonts w:ascii="Arial" w:hAnsi="Arial" w:cs="Arial"/>
          <w:b w:val="0"/>
          <w:caps w:val="0"/>
          <w:sz w:val="20"/>
        </w:rPr>
        <w:sym w:font="Arial" w:char="0063"/>
      </w:r>
      <w:r>
        <w:rPr>
          <w:rStyle w:val="MarginTextChar"/>
          <w:rFonts w:ascii="Arial" w:hAnsi="Arial" w:cs="Arial"/>
          <w:b w:val="0"/>
          <w:caps w:val="0"/>
          <w:sz w:val="20"/>
        </w:rPr>
        <w:sym w:font="Arial" w:char="0065"/>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61"/>
      </w:r>
      <w:r>
        <w:rPr>
          <w:rStyle w:val="MarginTextChar"/>
          <w:rFonts w:ascii="Arial" w:hAnsi="Arial" w:cs="Arial"/>
          <w:b w:val="0"/>
          <w:caps w:val="0"/>
          <w:sz w:val="20"/>
        </w:rPr>
        <w:sym w:font="Arial" w:char="0074"/>
      </w:r>
      <w:r>
        <w:rPr>
          <w:rStyle w:val="MarginTextChar"/>
          <w:rFonts w:ascii="Arial" w:hAnsi="Arial" w:cs="Arial"/>
          <w:b w:val="0"/>
          <w:caps w:val="0"/>
          <w:sz w:val="20"/>
        </w:rPr>
        <w:sym w:font="Arial" w:char="005D"/>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5B"/>
      </w:r>
      <w:r>
        <w:rPr>
          <w:rStyle w:val="MarginTextChar"/>
          <w:rFonts w:ascii="Arial" w:hAnsi="Arial" w:cs="Arial"/>
          <w:b w:val="0"/>
          <w:caps w:val="0"/>
          <w:sz w:val="20"/>
        </w:rPr>
        <w:sym w:font="Arial" w:char="0070"/>
      </w:r>
      <w:r>
        <w:rPr>
          <w:rStyle w:val="MarginTextChar"/>
          <w:rFonts w:ascii="Arial" w:hAnsi="Arial" w:cs="Arial"/>
          <w:b w:val="0"/>
          <w:caps w:val="0"/>
          <w:sz w:val="20"/>
        </w:rPr>
        <w:sym w:font="Arial" w:char="0072"/>
      </w:r>
      <w:r>
        <w:rPr>
          <w:rStyle w:val="MarginTextChar"/>
          <w:rFonts w:ascii="Arial" w:hAnsi="Arial" w:cs="Arial"/>
          <w:b w:val="0"/>
          <w:caps w:val="0"/>
          <w:sz w:val="20"/>
        </w:rPr>
        <w:sym w:font="Arial" w:char="0069"/>
      </w:r>
      <w:r>
        <w:rPr>
          <w:rStyle w:val="MarginTextChar"/>
          <w:rFonts w:ascii="Arial" w:hAnsi="Arial" w:cs="Arial"/>
          <w:b w:val="0"/>
          <w:caps w:val="0"/>
          <w:sz w:val="20"/>
        </w:rPr>
        <w:sym w:font="Arial" w:char="006E"/>
      </w:r>
      <w:r>
        <w:rPr>
          <w:rStyle w:val="MarginTextChar"/>
          <w:rFonts w:ascii="Arial" w:hAnsi="Arial" w:cs="Arial"/>
          <w:b w:val="0"/>
          <w:caps w:val="0"/>
          <w:sz w:val="20"/>
        </w:rPr>
        <w:sym w:font="Arial" w:char="0063"/>
      </w:r>
      <w:r>
        <w:rPr>
          <w:rStyle w:val="MarginTextChar"/>
          <w:rFonts w:ascii="Arial" w:hAnsi="Arial" w:cs="Arial"/>
          <w:b w:val="0"/>
          <w:caps w:val="0"/>
          <w:sz w:val="20"/>
        </w:rPr>
        <w:sym w:font="Arial" w:char="0069"/>
      </w:r>
      <w:r>
        <w:rPr>
          <w:rStyle w:val="MarginTextChar"/>
          <w:rFonts w:ascii="Arial" w:hAnsi="Arial" w:cs="Arial"/>
          <w:b w:val="0"/>
          <w:caps w:val="0"/>
          <w:sz w:val="20"/>
        </w:rPr>
        <w:sym w:font="Arial" w:char="0070"/>
      </w:r>
      <w:r>
        <w:rPr>
          <w:rStyle w:val="MarginTextChar"/>
          <w:rFonts w:ascii="Arial" w:hAnsi="Arial" w:cs="Arial"/>
          <w:b w:val="0"/>
          <w:caps w:val="0"/>
          <w:sz w:val="20"/>
        </w:rPr>
        <w:sym w:font="Arial" w:char="0061"/>
      </w:r>
      <w:r>
        <w:rPr>
          <w:rStyle w:val="MarginTextChar"/>
          <w:rFonts w:ascii="Arial" w:hAnsi="Arial" w:cs="Arial"/>
          <w:b w:val="0"/>
          <w:caps w:val="0"/>
          <w:sz w:val="20"/>
        </w:rPr>
        <w:sym w:font="Arial" w:char="006C"/>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70"/>
      </w:r>
      <w:r>
        <w:rPr>
          <w:rStyle w:val="MarginTextChar"/>
          <w:rFonts w:ascii="Arial" w:hAnsi="Arial" w:cs="Arial"/>
          <w:b w:val="0"/>
          <w:caps w:val="0"/>
          <w:sz w:val="20"/>
        </w:rPr>
        <w:sym w:font="Arial" w:char="006C"/>
      </w:r>
      <w:r>
        <w:rPr>
          <w:rStyle w:val="MarginTextChar"/>
          <w:rFonts w:ascii="Arial" w:hAnsi="Arial" w:cs="Arial"/>
          <w:b w:val="0"/>
          <w:caps w:val="0"/>
          <w:sz w:val="20"/>
        </w:rPr>
        <w:sym w:font="Arial" w:char="0061"/>
      </w:r>
      <w:r>
        <w:rPr>
          <w:rStyle w:val="MarginTextChar"/>
          <w:rFonts w:ascii="Arial" w:hAnsi="Arial" w:cs="Arial"/>
          <w:b w:val="0"/>
          <w:caps w:val="0"/>
          <w:sz w:val="20"/>
        </w:rPr>
        <w:sym w:font="Arial" w:char="0063"/>
      </w:r>
      <w:r>
        <w:rPr>
          <w:rStyle w:val="MarginTextChar"/>
          <w:rFonts w:ascii="Arial" w:hAnsi="Arial" w:cs="Arial"/>
          <w:b w:val="0"/>
          <w:caps w:val="0"/>
          <w:sz w:val="20"/>
        </w:rPr>
        <w:sym w:font="Arial" w:char="0065"/>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6F"/>
      </w:r>
      <w:r>
        <w:rPr>
          <w:rStyle w:val="MarginTextChar"/>
          <w:rFonts w:ascii="Arial" w:hAnsi="Arial" w:cs="Arial"/>
          <w:b w:val="0"/>
          <w:caps w:val="0"/>
          <w:sz w:val="20"/>
        </w:rPr>
        <w:sym w:font="Arial" w:char="0066"/>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62"/>
      </w:r>
      <w:r>
        <w:rPr>
          <w:rStyle w:val="MarginTextChar"/>
          <w:rFonts w:ascii="Arial" w:hAnsi="Arial" w:cs="Arial"/>
          <w:b w:val="0"/>
          <w:caps w:val="0"/>
          <w:sz w:val="20"/>
        </w:rPr>
        <w:sym w:font="Arial" w:char="0075"/>
      </w:r>
      <w:r>
        <w:rPr>
          <w:rStyle w:val="MarginTextChar"/>
          <w:rFonts w:ascii="Arial" w:hAnsi="Arial" w:cs="Arial"/>
          <w:b w:val="0"/>
          <w:caps w:val="0"/>
          <w:sz w:val="20"/>
        </w:rPr>
        <w:sym w:font="Arial" w:char="0073"/>
      </w:r>
      <w:r>
        <w:rPr>
          <w:rStyle w:val="MarginTextChar"/>
          <w:rFonts w:ascii="Arial" w:hAnsi="Arial" w:cs="Arial"/>
          <w:b w:val="0"/>
          <w:caps w:val="0"/>
          <w:sz w:val="20"/>
        </w:rPr>
        <w:sym w:font="Arial" w:char="0069"/>
      </w:r>
      <w:r>
        <w:rPr>
          <w:rStyle w:val="MarginTextChar"/>
          <w:rFonts w:ascii="Arial" w:hAnsi="Arial" w:cs="Arial"/>
          <w:b w:val="0"/>
          <w:caps w:val="0"/>
          <w:sz w:val="20"/>
        </w:rPr>
        <w:sym w:font="Arial" w:char="006E"/>
      </w:r>
      <w:r>
        <w:rPr>
          <w:rStyle w:val="MarginTextChar"/>
          <w:rFonts w:ascii="Arial" w:hAnsi="Arial" w:cs="Arial"/>
          <w:b w:val="0"/>
          <w:caps w:val="0"/>
          <w:sz w:val="20"/>
        </w:rPr>
        <w:sym w:font="Arial" w:char="0065"/>
      </w:r>
      <w:r>
        <w:rPr>
          <w:rStyle w:val="MarginTextChar"/>
          <w:rFonts w:ascii="Arial" w:hAnsi="Arial" w:cs="Arial"/>
          <w:b w:val="0"/>
          <w:caps w:val="0"/>
          <w:sz w:val="20"/>
        </w:rPr>
        <w:sym w:font="Arial" w:char="0073"/>
      </w:r>
      <w:r>
        <w:rPr>
          <w:rStyle w:val="MarginTextChar"/>
          <w:rFonts w:ascii="Arial" w:hAnsi="Arial" w:cs="Arial"/>
          <w:b w:val="0"/>
          <w:caps w:val="0"/>
          <w:sz w:val="20"/>
        </w:rPr>
        <w:sym w:font="Arial" w:char="0073"/>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0061"/>
      </w:r>
      <w:r>
        <w:rPr>
          <w:rStyle w:val="MarginTextChar"/>
          <w:rFonts w:ascii="Arial" w:hAnsi="Arial" w:cs="Arial"/>
          <w:b w:val="0"/>
          <w:caps w:val="0"/>
          <w:sz w:val="20"/>
        </w:rPr>
        <w:sym w:font="Arial" w:char="0074"/>
      </w:r>
      <w:r>
        <w:rPr>
          <w:rStyle w:val="MarginTextChar"/>
          <w:rFonts w:ascii="Arial" w:hAnsi="Arial" w:cs="Arial"/>
          <w:b w:val="0"/>
          <w:caps w:val="0"/>
          <w:sz w:val="20"/>
        </w:rPr>
        <w:sym w:font="Arial" w:char="005D"/>
      </w:r>
      <w:r>
        <w:rPr>
          <w:rStyle w:val="MarginTextChar"/>
          <w:rFonts w:ascii="Arial" w:hAnsi="Arial" w:cs="Arial"/>
          <w:b w:val="0"/>
          <w:caps w:val="0"/>
          <w:sz w:val="20"/>
        </w:rPr>
        <w:sym w:font="Arial" w:char="0020"/>
      </w:r>
      <w:r>
        <w:rPr>
          <w:rStyle w:val="MarginTextChar"/>
          <w:rFonts w:ascii="Arial" w:hAnsi="Arial" w:cs="Arial"/>
          <w:b w:val="0"/>
          <w:caps w:val="0"/>
          <w:sz w:val="20"/>
        </w:rPr>
        <w:sym w:font="Arial" w:char="F075"/>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Style w:val="MarginTextChar"/>
          <w:rFonts w:ascii="Arial" w:hAnsi="Arial" w:cs="Arial"/>
          <w:b w:val="0"/>
          <w:caps w:val="0"/>
          <w:sz w:val="20"/>
        </w:rPr>
        <w:sym w:font="Arial" w:char="00A0"/>
      </w:r>
      <w:r>
        <w:rPr>
          <w:rFonts w:ascii="Arial" w:hAnsi="Arial" w:cs="Arial"/>
          <w:sz w:val="20"/>
          <w:szCs w:val="20"/>
        </w:rPr>
        <w:t>("</w:t>
      </w:r>
      <w:r>
        <w:rPr>
          <w:rFonts w:ascii="Arial" w:eastAsia="STZhongsong" w:hAnsi="Arial" w:cs="Arial"/>
          <w:caps w:val="0"/>
          <w:sz w:val="20"/>
          <w:szCs w:val="20"/>
          <w:lang w:eastAsia="zh-CN"/>
        </w:rPr>
        <w:t>Provider Supplier</w:t>
      </w:r>
      <w:r>
        <w:rPr>
          <w:rFonts w:ascii="Arial" w:hAnsi="Arial" w:cs="Arial"/>
          <w:sz w:val="20"/>
          <w:szCs w:val="20"/>
        </w:rPr>
        <w:t xml:space="preserve">") </w:t>
      </w:r>
      <w:r>
        <w:rPr>
          <w:rStyle w:val="MarginTextChar"/>
          <w:rFonts w:ascii="Arial" w:hAnsi="Arial" w:cs="Arial"/>
          <w:b w:val="0"/>
          <w:caps w:val="0"/>
          <w:sz w:val="20"/>
        </w:rPr>
        <w:t>acting as licensor</w:t>
      </w:r>
      <w:r>
        <w:rPr>
          <w:rFonts w:ascii="Arial" w:hAnsi="Arial" w:cs="Arial"/>
          <w:sz w:val="20"/>
          <w:szCs w:val="20"/>
        </w:rPr>
        <w:t>;</w:t>
      </w:r>
      <w:r>
        <w:rPr>
          <w:rStyle w:val="MarginTextChar"/>
          <w:rFonts w:ascii="Arial" w:hAnsi="Arial" w:cs="Arial"/>
          <w:b w:val="0"/>
          <w:caps w:val="0"/>
          <w:sz w:val="20"/>
        </w:rPr>
        <w:t xml:space="preserve"> and</w:t>
      </w:r>
    </w:p>
    <w:p w14:paraId="76B4F220" w14:textId="77777777" w:rsidR="00B06F19" w:rsidRDefault="009A2766">
      <w:pPr>
        <w:pStyle w:val="MarginText"/>
        <w:ind w:left="720" w:hanging="720"/>
        <w:rPr>
          <w:rFonts w:ascii="Arial" w:hAnsi="Arial" w:cs="Arial"/>
          <w:sz w:val="20"/>
        </w:rPr>
      </w:pPr>
      <w:r>
        <w:rPr>
          <w:rFonts w:ascii="Arial" w:hAnsi="Arial" w:cs="Arial"/>
          <w:b/>
          <w:sz w:val="20"/>
        </w:rPr>
        <w:t>(2)</w:t>
      </w:r>
      <w:r>
        <w:rPr>
          <w:rFonts w:ascii="Arial" w:hAnsi="Arial" w:cs="Arial"/>
          <w:sz w:val="20"/>
        </w:rPr>
        <w:tab/>
      </w:r>
      <w:r>
        <w:rPr>
          <w:rFonts w:ascii="Arial" w:hAnsi="Arial" w:cs="Arial"/>
          <w:sz w:val="20"/>
        </w:rPr>
        <w:sym w:font="Arial" w:char="F075"/>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61"/>
      </w:r>
      <w:r>
        <w:rPr>
          <w:rFonts w:ascii="Arial" w:hAnsi="Arial" w:cs="Arial"/>
          <w:sz w:val="20"/>
        </w:rPr>
        <w:sym w:font="Arial" w:char="0020"/>
      </w:r>
      <w:r>
        <w:rPr>
          <w:rFonts w:ascii="Arial" w:hAnsi="Arial" w:cs="Arial"/>
          <w:sz w:val="20"/>
        </w:rPr>
        <w:sym w:font="Arial" w:char="0063"/>
      </w:r>
      <w:r>
        <w:rPr>
          <w:rFonts w:ascii="Arial" w:hAnsi="Arial" w:cs="Arial"/>
          <w:sz w:val="20"/>
        </w:rPr>
        <w:sym w:font="Arial" w:char="006F"/>
      </w:r>
      <w:r>
        <w:rPr>
          <w:rFonts w:ascii="Arial" w:hAnsi="Arial" w:cs="Arial"/>
          <w:sz w:val="20"/>
        </w:rPr>
        <w:sym w:font="Arial" w:char="006D"/>
      </w:r>
      <w:r>
        <w:rPr>
          <w:rFonts w:ascii="Arial" w:hAnsi="Arial" w:cs="Arial"/>
          <w:sz w:val="20"/>
        </w:rPr>
        <w:sym w:font="Arial" w:char="0070"/>
      </w:r>
      <w:r>
        <w:rPr>
          <w:rFonts w:ascii="Arial" w:hAnsi="Arial" w:cs="Arial"/>
          <w:sz w:val="20"/>
        </w:rPr>
        <w:sym w:font="Arial" w:char="0061"/>
      </w:r>
      <w:r>
        <w:rPr>
          <w:rFonts w:ascii="Arial" w:hAnsi="Arial" w:cs="Arial"/>
          <w:sz w:val="20"/>
        </w:rPr>
        <w:sym w:font="Arial" w:char="006E"/>
      </w:r>
      <w:r>
        <w:rPr>
          <w:rFonts w:ascii="Arial" w:hAnsi="Arial" w:cs="Arial"/>
          <w:sz w:val="20"/>
        </w:rPr>
        <w:sym w:font="Arial" w:char="0079"/>
      </w:r>
      <w:r>
        <w:rPr>
          <w:rFonts w:ascii="Arial" w:hAnsi="Arial" w:cs="Arial"/>
          <w:sz w:val="20"/>
        </w:rPr>
        <w:sym w:font="Arial" w:char="0020"/>
      </w:r>
      <w:r>
        <w:rPr>
          <w:rFonts w:ascii="Arial" w:hAnsi="Arial" w:cs="Arial"/>
          <w:sz w:val="20"/>
        </w:rPr>
        <w:sym w:font="Arial" w:char="0069"/>
      </w:r>
      <w:r>
        <w:rPr>
          <w:rFonts w:ascii="Arial" w:hAnsi="Arial" w:cs="Arial"/>
          <w:sz w:val="20"/>
        </w:rPr>
        <w:sym w:font="Arial" w:char="006E"/>
      </w:r>
      <w:r>
        <w:rPr>
          <w:rFonts w:ascii="Arial" w:hAnsi="Arial" w:cs="Arial"/>
          <w:sz w:val="20"/>
        </w:rPr>
        <w:sym w:font="Arial" w:char="0063"/>
      </w:r>
      <w:r>
        <w:rPr>
          <w:rFonts w:ascii="Arial" w:hAnsi="Arial" w:cs="Arial"/>
          <w:sz w:val="20"/>
        </w:rPr>
        <w:sym w:font="Arial" w:char="006F"/>
      </w:r>
      <w:r>
        <w:rPr>
          <w:rFonts w:ascii="Arial" w:hAnsi="Arial" w:cs="Arial"/>
          <w:sz w:val="20"/>
        </w:rPr>
        <w:sym w:font="Arial" w:char="0072"/>
      </w:r>
      <w:r>
        <w:rPr>
          <w:rFonts w:ascii="Arial" w:hAnsi="Arial" w:cs="Arial"/>
          <w:sz w:val="20"/>
        </w:rPr>
        <w:sym w:font="Arial" w:char="0070"/>
      </w:r>
      <w:r>
        <w:rPr>
          <w:rFonts w:ascii="Arial" w:hAnsi="Arial" w:cs="Arial"/>
          <w:sz w:val="20"/>
        </w:rPr>
        <w:sym w:font="Arial" w:char="006F"/>
      </w:r>
      <w:r>
        <w:rPr>
          <w:rFonts w:ascii="Arial" w:hAnsi="Arial" w:cs="Arial"/>
          <w:sz w:val="20"/>
        </w:rPr>
        <w:sym w:font="Arial" w:char="0072"/>
      </w:r>
      <w:r>
        <w:rPr>
          <w:rFonts w:ascii="Arial" w:hAnsi="Arial" w:cs="Arial"/>
          <w:sz w:val="20"/>
        </w:rPr>
        <w:sym w:font="Arial" w:char="0061"/>
      </w:r>
      <w:r>
        <w:rPr>
          <w:rFonts w:ascii="Arial" w:hAnsi="Arial" w:cs="Arial"/>
          <w:sz w:val="20"/>
        </w:rPr>
        <w:sym w:font="Arial" w:char="0074"/>
      </w:r>
      <w:r>
        <w:rPr>
          <w:rFonts w:ascii="Arial" w:hAnsi="Arial" w:cs="Arial"/>
          <w:sz w:val="20"/>
        </w:rPr>
        <w:sym w:font="Arial" w:char="0065"/>
      </w:r>
      <w:r>
        <w:rPr>
          <w:rFonts w:ascii="Arial" w:hAnsi="Arial" w:cs="Arial"/>
          <w:sz w:val="20"/>
        </w:rPr>
        <w:sym w:font="Arial" w:char="0064"/>
      </w:r>
      <w:r>
        <w:rPr>
          <w:rFonts w:ascii="Arial" w:hAnsi="Arial" w:cs="Arial"/>
          <w:sz w:val="20"/>
        </w:rPr>
        <w:sym w:font="Arial" w:char="0020"/>
      </w:r>
      <w:r>
        <w:rPr>
          <w:rFonts w:ascii="Arial" w:hAnsi="Arial" w:cs="Arial"/>
          <w:sz w:val="20"/>
        </w:rPr>
        <w:sym w:font="Arial" w:char="0061"/>
      </w:r>
      <w:r>
        <w:rPr>
          <w:rFonts w:ascii="Arial" w:hAnsi="Arial" w:cs="Arial"/>
          <w:sz w:val="20"/>
        </w:rPr>
        <w:sym w:font="Arial" w:char="006E"/>
      </w:r>
      <w:r>
        <w:rPr>
          <w:rFonts w:ascii="Arial" w:hAnsi="Arial" w:cs="Arial"/>
          <w:sz w:val="20"/>
        </w:rPr>
        <w:sym w:font="Arial" w:char="0064"/>
      </w:r>
      <w:r>
        <w:rPr>
          <w:rFonts w:ascii="Arial" w:hAnsi="Arial" w:cs="Arial"/>
          <w:sz w:val="20"/>
        </w:rPr>
        <w:sym w:font="Arial" w:char="0020"/>
      </w:r>
      <w:r>
        <w:rPr>
          <w:rFonts w:ascii="Arial" w:hAnsi="Arial" w:cs="Arial"/>
          <w:sz w:val="20"/>
        </w:rPr>
        <w:sym w:font="Arial" w:char="0072"/>
      </w:r>
      <w:r>
        <w:rPr>
          <w:rFonts w:ascii="Arial" w:hAnsi="Arial" w:cs="Arial"/>
          <w:sz w:val="20"/>
        </w:rPr>
        <w:sym w:font="Arial" w:char="0065"/>
      </w:r>
      <w:r>
        <w:rPr>
          <w:rFonts w:ascii="Arial" w:hAnsi="Arial" w:cs="Arial"/>
          <w:sz w:val="20"/>
        </w:rPr>
        <w:sym w:font="Arial" w:char="0067"/>
      </w:r>
      <w:r>
        <w:rPr>
          <w:rFonts w:ascii="Arial" w:hAnsi="Arial" w:cs="Arial"/>
          <w:sz w:val="20"/>
        </w:rPr>
        <w:sym w:font="Arial" w:char="0069"/>
      </w:r>
      <w:r>
        <w:rPr>
          <w:rFonts w:ascii="Arial" w:hAnsi="Arial" w:cs="Arial"/>
          <w:sz w:val="20"/>
        </w:rPr>
        <w:sym w:font="Arial" w:char="0073"/>
      </w:r>
      <w:r>
        <w:rPr>
          <w:rFonts w:ascii="Arial" w:hAnsi="Arial" w:cs="Arial"/>
          <w:sz w:val="20"/>
        </w:rPr>
        <w:sym w:font="Arial" w:char="0074"/>
      </w:r>
      <w:r>
        <w:rPr>
          <w:rFonts w:ascii="Arial" w:hAnsi="Arial" w:cs="Arial"/>
          <w:sz w:val="20"/>
        </w:rPr>
        <w:sym w:font="Arial" w:char="0065"/>
      </w:r>
      <w:r>
        <w:rPr>
          <w:rFonts w:ascii="Arial" w:hAnsi="Arial" w:cs="Arial"/>
          <w:sz w:val="20"/>
        </w:rPr>
        <w:sym w:font="Arial" w:char="0072"/>
      </w:r>
      <w:r>
        <w:rPr>
          <w:rFonts w:ascii="Arial" w:hAnsi="Arial" w:cs="Arial"/>
          <w:sz w:val="20"/>
        </w:rPr>
        <w:sym w:font="Arial" w:char="0065"/>
      </w:r>
      <w:r>
        <w:rPr>
          <w:rFonts w:ascii="Arial" w:hAnsi="Arial" w:cs="Arial"/>
          <w:sz w:val="20"/>
        </w:rPr>
        <w:sym w:font="Arial" w:char="0064"/>
      </w:r>
      <w:r>
        <w:rPr>
          <w:rFonts w:ascii="Arial" w:hAnsi="Arial" w:cs="Arial"/>
          <w:sz w:val="20"/>
        </w:rPr>
        <w:sym w:font="Arial" w:char="0020"/>
      </w:r>
      <w:r>
        <w:rPr>
          <w:rFonts w:ascii="Arial" w:hAnsi="Arial" w:cs="Arial"/>
          <w:sz w:val="20"/>
        </w:rPr>
        <w:sym w:font="Arial" w:char="0069"/>
      </w:r>
      <w:r>
        <w:rPr>
          <w:rFonts w:ascii="Arial" w:hAnsi="Arial" w:cs="Arial"/>
          <w:sz w:val="20"/>
        </w:rPr>
        <w:sym w:font="Arial" w:char="006E"/>
      </w:r>
      <w:r>
        <w:rPr>
          <w:rFonts w:ascii="Arial" w:hAnsi="Arial" w:cs="Arial"/>
          <w:sz w:val="20"/>
        </w:rPr>
        <w:sym w:font="Arial" w:char="0020"/>
      </w:r>
      <w:r>
        <w:rPr>
          <w:rFonts w:ascii="Arial" w:hAnsi="Arial" w:cs="Arial"/>
          <w:sz w:val="20"/>
        </w:rPr>
        <w:sym w:font="Arial" w:char="005B"/>
      </w:r>
      <w:r>
        <w:rPr>
          <w:rFonts w:ascii="Arial" w:hAnsi="Arial" w:cs="Arial"/>
          <w:sz w:val="20"/>
        </w:rPr>
        <w:sym w:font="Arial" w:char="0045"/>
      </w:r>
      <w:r>
        <w:rPr>
          <w:rFonts w:ascii="Arial" w:hAnsi="Arial" w:cs="Arial"/>
          <w:sz w:val="20"/>
        </w:rPr>
        <w:sym w:font="Arial" w:char="006E"/>
      </w:r>
      <w:r>
        <w:rPr>
          <w:rFonts w:ascii="Arial" w:hAnsi="Arial" w:cs="Arial"/>
          <w:sz w:val="20"/>
        </w:rPr>
        <w:sym w:font="Arial" w:char="0067"/>
      </w:r>
      <w:r>
        <w:rPr>
          <w:rFonts w:ascii="Arial" w:hAnsi="Arial" w:cs="Arial"/>
          <w:sz w:val="20"/>
        </w:rPr>
        <w:sym w:font="Arial" w:char="006C"/>
      </w:r>
      <w:r>
        <w:rPr>
          <w:rFonts w:ascii="Arial" w:hAnsi="Arial" w:cs="Arial"/>
          <w:sz w:val="20"/>
        </w:rPr>
        <w:sym w:font="Arial" w:char="0061"/>
      </w:r>
      <w:r>
        <w:rPr>
          <w:rFonts w:ascii="Arial" w:hAnsi="Arial" w:cs="Arial"/>
          <w:sz w:val="20"/>
        </w:rPr>
        <w:sym w:font="Arial" w:char="006E"/>
      </w:r>
      <w:r>
        <w:rPr>
          <w:rFonts w:ascii="Arial" w:hAnsi="Arial" w:cs="Arial"/>
          <w:sz w:val="20"/>
        </w:rPr>
        <w:sym w:font="Arial" w:char="0064"/>
      </w:r>
      <w:r>
        <w:rPr>
          <w:rFonts w:ascii="Arial" w:hAnsi="Arial" w:cs="Arial"/>
          <w:sz w:val="20"/>
        </w:rPr>
        <w:sym w:font="Arial" w:char="0020"/>
      </w:r>
      <w:r>
        <w:rPr>
          <w:rFonts w:ascii="Arial" w:hAnsi="Arial" w:cs="Arial"/>
          <w:sz w:val="20"/>
        </w:rPr>
        <w:sym w:font="Arial" w:char="0061"/>
      </w:r>
      <w:r>
        <w:rPr>
          <w:rFonts w:ascii="Arial" w:hAnsi="Arial" w:cs="Arial"/>
          <w:sz w:val="20"/>
        </w:rPr>
        <w:sym w:font="Arial" w:char="006E"/>
      </w:r>
      <w:r>
        <w:rPr>
          <w:rFonts w:ascii="Arial" w:hAnsi="Arial" w:cs="Arial"/>
          <w:sz w:val="20"/>
        </w:rPr>
        <w:sym w:font="Arial" w:char="0064"/>
      </w:r>
      <w:r>
        <w:rPr>
          <w:rFonts w:ascii="Arial" w:hAnsi="Arial" w:cs="Arial"/>
          <w:sz w:val="20"/>
        </w:rPr>
        <w:sym w:font="Arial" w:char="0020"/>
      </w:r>
      <w:r>
        <w:rPr>
          <w:rFonts w:ascii="Arial" w:hAnsi="Arial" w:cs="Arial"/>
          <w:sz w:val="20"/>
        </w:rPr>
        <w:sym w:font="Arial" w:char="0057"/>
      </w:r>
      <w:r>
        <w:rPr>
          <w:rFonts w:ascii="Arial" w:hAnsi="Arial" w:cs="Arial"/>
          <w:sz w:val="20"/>
        </w:rPr>
        <w:sym w:font="Arial" w:char="0061"/>
      </w:r>
      <w:r>
        <w:rPr>
          <w:rFonts w:ascii="Arial" w:hAnsi="Arial" w:cs="Arial"/>
          <w:sz w:val="20"/>
        </w:rPr>
        <w:sym w:font="Arial" w:char="006C"/>
      </w:r>
      <w:r>
        <w:rPr>
          <w:rFonts w:ascii="Arial" w:hAnsi="Arial" w:cs="Arial"/>
          <w:sz w:val="20"/>
        </w:rPr>
        <w:sym w:font="Arial" w:char="0065"/>
      </w:r>
      <w:r>
        <w:rPr>
          <w:rFonts w:ascii="Arial" w:hAnsi="Arial" w:cs="Arial"/>
          <w:sz w:val="20"/>
        </w:rPr>
        <w:sym w:font="Arial" w:char="0073"/>
      </w:r>
      <w:r>
        <w:rPr>
          <w:rFonts w:ascii="Arial" w:hAnsi="Arial" w:cs="Arial"/>
          <w:sz w:val="20"/>
        </w:rPr>
        <w:sym w:font="Arial" w:char="005D"/>
      </w:r>
      <w:r>
        <w:rPr>
          <w:rFonts w:ascii="Arial" w:hAnsi="Arial" w:cs="Arial"/>
          <w:sz w:val="20"/>
        </w:rPr>
        <w:sym w:font="Arial" w:char="0020"/>
      </w:r>
      <w:r>
        <w:rPr>
          <w:rFonts w:ascii="Arial" w:hAnsi="Arial" w:cs="Arial"/>
          <w:sz w:val="20"/>
        </w:rPr>
        <w:sym w:font="Arial" w:char="0028"/>
      </w:r>
      <w:r>
        <w:rPr>
          <w:rFonts w:ascii="Arial" w:hAnsi="Arial" w:cs="Arial"/>
          <w:sz w:val="20"/>
        </w:rPr>
        <w:sym w:font="Arial" w:char="0063"/>
      </w:r>
      <w:r>
        <w:rPr>
          <w:rFonts w:ascii="Arial" w:hAnsi="Arial" w:cs="Arial"/>
          <w:sz w:val="20"/>
        </w:rPr>
        <w:sym w:font="Arial" w:char="006F"/>
      </w:r>
      <w:r>
        <w:rPr>
          <w:rFonts w:ascii="Arial" w:hAnsi="Arial" w:cs="Arial"/>
          <w:sz w:val="20"/>
        </w:rPr>
        <w:sym w:font="Arial" w:char="006D"/>
      </w:r>
      <w:r>
        <w:rPr>
          <w:rFonts w:ascii="Arial" w:hAnsi="Arial" w:cs="Arial"/>
          <w:sz w:val="20"/>
        </w:rPr>
        <w:sym w:font="Arial" w:char="0070"/>
      </w:r>
      <w:r>
        <w:rPr>
          <w:rFonts w:ascii="Arial" w:hAnsi="Arial" w:cs="Arial"/>
          <w:sz w:val="20"/>
        </w:rPr>
        <w:sym w:font="Arial" w:char="0061"/>
      </w:r>
      <w:r>
        <w:rPr>
          <w:rFonts w:ascii="Arial" w:hAnsi="Arial" w:cs="Arial"/>
          <w:sz w:val="20"/>
        </w:rPr>
        <w:sym w:font="Arial" w:char="006E"/>
      </w:r>
      <w:r>
        <w:rPr>
          <w:rFonts w:ascii="Arial" w:hAnsi="Arial" w:cs="Arial"/>
          <w:sz w:val="20"/>
        </w:rPr>
        <w:sym w:font="Arial" w:char="0079"/>
      </w:r>
      <w:r>
        <w:rPr>
          <w:rFonts w:ascii="Arial" w:hAnsi="Arial" w:cs="Arial"/>
          <w:sz w:val="20"/>
        </w:rPr>
        <w:sym w:font="Arial" w:char="0020"/>
      </w:r>
      <w:r>
        <w:rPr>
          <w:rFonts w:ascii="Arial" w:hAnsi="Arial" w:cs="Arial"/>
          <w:sz w:val="20"/>
        </w:rPr>
        <w:sym w:font="Arial" w:char="006E"/>
      </w:r>
      <w:r>
        <w:rPr>
          <w:rFonts w:ascii="Arial" w:hAnsi="Arial" w:cs="Arial"/>
          <w:sz w:val="20"/>
        </w:rPr>
        <w:sym w:font="Arial" w:char="0075"/>
      </w:r>
      <w:r>
        <w:rPr>
          <w:rFonts w:ascii="Arial" w:hAnsi="Arial" w:cs="Arial"/>
          <w:sz w:val="20"/>
        </w:rPr>
        <w:sym w:font="Arial" w:char="006D"/>
      </w:r>
      <w:r>
        <w:rPr>
          <w:rFonts w:ascii="Arial" w:hAnsi="Arial" w:cs="Arial"/>
          <w:sz w:val="20"/>
        </w:rPr>
        <w:sym w:font="Arial" w:char="0062"/>
      </w:r>
      <w:r>
        <w:rPr>
          <w:rFonts w:ascii="Arial" w:hAnsi="Arial" w:cs="Arial"/>
          <w:sz w:val="20"/>
        </w:rPr>
        <w:sym w:font="Arial" w:char="0065"/>
      </w:r>
      <w:r>
        <w:rPr>
          <w:rFonts w:ascii="Arial" w:hAnsi="Arial" w:cs="Arial"/>
          <w:sz w:val="20"/>
        </w:rPr>
        <w:sym w:font="Arial" w:char="0072"/>
      </w:r>
      <w:r>
        <w:rPr>
          <w:rFonts w:ascii="Arial" w:hAnsi="Arial" w:cs="Arial"/>
          <w:sz w:val="20"/>
        </w:rPr>
        <w:sym w:font="Arial" w:char="0020"/>
      </w:r>
      <w:r>
        <w:rPr>
          <w:rFonts w:ascii="Arial" w:hAnsi="Arial" w:cs="Arial"/>
          <w:sz w:val="20"/>
        </w:rPr>
        <w:sym w:font="Arial" w:char="F075"/>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29"/>
      </w:r>
      <w:r>
        <w:rPr>
          <w:rFonts w:ascii="Arial" w:hAnsi="Arial" w:cs="Arial"/>
          <w:sz w:val="20"/>
        </w:rPr>
        <w:sym w:font="Arial" w:char="0020"/>
      </w:r>
      <w:r>
        <w:rPr>
          <w:rFonts w:ascii="Arial" w:hAnsi="Arial" w:cs="Arial"/>
          <w:sz w:val="20"/>
        </w:rPr>
        <w:sym w:font="Arial" w:char="0077"/>
      </w:r>
      <w:r>
        <w:rPr>
          <w:rFonts w:ascii="Arial" w:hAnsi="Arial" w:cs="Arial"/>
          <w:sz w:val="20"/>
        </w:rPr>
        <w:sym w:font="Arial" w:char="0068"/>
      </w:r>
      <w:r>
        <w:rPr>
          <w:rFonts w:ascii="Arial" w:hAnsi="Arial" w:cs="Arial"/>
          <w:sz w:val="20"/>
        </w:rPr>
        <w:sym w:font="Arial" w:char="0069"/>
      </w:r>
      <w:r>
        <w:rPr>
          <w:rFonts w:ascii="Arial" w:hAnsi="Arial" w:cs="Arial"/>
          <w:sz w:val="20"/>
        </w:rPr>
        <w:sym w:font="Arial" w:char="0063"/>
      </w:r>
      <w:r>
        <w:rPr>
          <w:rFonts w:ascii="Arial" w:hAnsi="Arial" w:cs="Arial"/>
          <w:sz w:val="20"/>
        </w:rPr>
        <w:sym w:font="Arial" w:char="0068"/>
      </w:r>
      <w:r>
        <w:rPr>
          <w:rFonts w:ascii="Arial" w:hAnsi="Arial" w:cs="Arial"/>
          <w:sz w:val="20"/>
        </w:rPr>
        <w:sym w:font="Arial" w:char="0020"/>
      </w:r>
      <w:r>
        <w:rPr>
          <w:rFonts w:ascii="Arial" w:hAnsi="Arial" w:cs="Arial"/>
          <w:sz w:val="20"/>
        </w:rPr>
        <w:sym w:font="Arial" w:char="0068"/>
      </w:r>
      <w:r>
        <w:rPr>
          <w:rFonts w:ascii="Arial" w:hAnsi="Arial" w:cs="Arial"/>
          <w:sz w:val="20"/>
        </w:rPr>
        <w:sym w:font="Arial" w:char="0061"/>
      </w:r>
      <w:r>
        <w:rPr>
          <w:rFonts w:ascii="Arial" w:hAnsi="Arial" w:cs="Arial"/>
          <w:sz w:val="20"/>
        </w:rPr>
        <w:sym w:font="Arial" w:char="0073"/>
      </w:r>
      <w:r>
        <w:rPr>
          <w:rFonts w:ascii="Arial" w:hAnsi="Arial" w:cs="Arial"/>
          <w:sz w:val="20"/>
        </w:rPr>
        <w:sym w:font="Arial" w:char="0020"/>
      </w:r>
      <w:r>
        <w:rPr>
          <w:rFonts w:ascii="Arial" w:hAnsi="Arial" w:cs="Arial"/>
          <w:sz w:val="20"/>
        </w:rPr>
        <w:sym w:font="Arial" w:char="0069"/>
      </w:r>
      <w:r>
        <w:rPr>
          <w:rFonts w:ascii="Arial" w:hAnsi="Arial" w:cs="Arial"/>
          <w:sz w:val="20"/>
        </w:rPr>
        <w:sym w:font="Arial" w:char="0074"/>
      </w:r>
      <w:r>
        <w:rPr>
          <w:rFonts w:ascii="Arial" w:hAnsi="Arial" w:cs="Arial"/>
          <w:sz w:val="20"/>
        </w:rPr>
        <w:sym w:font="Arial" w:char="0073"/>
      </w:r>
      <w:r>
        <w:rPr>
          <w:rFonts w:ascii="Arial" w:hAnsi="Arial" w:cs="Arial"/>
          <w:sz w:val="20"/>
        </w:rPr>
        <w:sym w:font="Arial" w:char="0020"/>
      </w:r>
      <w:r>
        <w:rPr>
          <w:rFonts w:ascii="Arial" w:hAnsi="Arial" w:cs="Arial"/>
          <w:sz w:val="20"/>
        </w:rPr>
        <w:sym w:font="Arial" w:char="005B"/>
      </w:r>
      <w:r>
        <w:rPr>
          <w:rFonts w:ascii="Arial" w:hAnsi="Arial" w:cs="Arial"/>
          <w:sz w:val="20"/>
        </w:rPr>
        <w:sym w:font="Arial" w:char="0072"/>
      </w:r>
      <w:r>
        <w:rPr>
          <w:rFonts w:ascii="Arial" w:hAnsi="Arial" w:cs="Arial"/>
          <w:sz w:val="20"/>
        </w:rPr>
        <w:sym w:font="Arial" w:char="0065"/>
      </w:r>
      <w:r>
        <w:rPr>
          <w:rFonts w:ascii="Arial" w:hAnsi="Arial" w:cs="Arial"/>
          <w:sz w:val="20"/>
        </w:rPr>
        <w:sym w:font="Arial" w:char="0067"/>
      </w:r>
      <w:r>
        <w:rPr>
          <w:rFonts w:ascii="Arial" w:hAnsi="Arial" w:cs="Arial"/>
          <w:sz w:val="20"/>
        </w:rPr>
        <w:sym w:font="Arial" w:char="0069"/>
      </w:r>
      <w:r>
        <w:rPr>
          <w:rFonts w:ascii="Arial" w:hAnsi="Arial" w:cs="Arial"/>
          <w:sz w:val="20"/>
        </w:rPr>
        <w:sym w:font="Arial" w:char="0073"/>
      </w:r>
      <w:r>
        <w:rPr>
          <w:rFonts w:ascii="Arial" w:hAnsi="Arial" w:cs="Arial"/>
          <w:sz w:val="20"/>
        </w:rPr>
        <w:sym w:font="Arial" w:char="0074"/>
      </w:r>
      <w:r>
        <w:rPr>
          <w:rFonts w:ascii="Arial" w:hAnsi="Arial" w:cs="Arial"/>
          <w:sz w:val="20"/>
        </w:rPr>
        <w:sym w:font="Arial" w:char="0065"/>
      </w:r>
      <w:r>
        <w:rPr>
          <w:rFonts w:ascii="Arial" w:hAnsi="Arial" w:cs="Arial"/>
          <w:sz w:val="20"/>
        </w:rPr>
        <w:sym w:font="Arial" w:char="0072"/>
      </w:r>
      <w:r>
        <w:rPr>
          <w:rFonts w:ascii="Arial" w:hAnsi="Arial" w:cs="Arial"/>
          <w:sz w:val="20"/>
        </w:rPr>
        <w:sym w:font="Arial" w:char="0065"/>
      </w:r>
      <w:r>
        <w:rPr>
          <w:rFonts w:ascii="Arial" w:hAnsi="Arial" w:cs="Arial"/>
          <w:sz w:val="20"/>
        </w:rPr>
        <w:sym w:font="Arial" w:char="0064"/>
      </w:r>
      <w:r>
        <w:rPr>
          <w:rFonts w:ascii="Arial" w:hAnsi="Arial" w:cs="Arial"/>
          <w:sz w:val="20"/>
        </w:rPr>
        <w:sym w:font="Arial" w:char="0020"/>
      </w:r>
      <w:r>
        <w:rPr>
          <w:rFonts w:ascii="Arial" w:hAnsi="Arial" w:cs="Arial"/>
          <w:sz w:val="20"/>
        </w:rPr>
        <w:sym w:font="Arial" w:char="006F"/>
      </w:r>
      <w:r>
        <w:rPr>
          <w:rFonts w:ascii="Arial" w:hAnsi="Arial" w:cs="Arial"/>
          <w:sz w:val="20"/>
        </w:rPr>
        <w:sym w:font="Arial" w:char="0066"/>
      </w:r>
      <w:r>
        <w:rPr>
          <w:rFonts w:ascii="Arial" w:hAnsi="Arial" w:cs="Arial"/>
          <w:sz w:val="20"/>
        </w:rPr>
        <w:sym w:font="Arial" w:char="0066"/>
      </w:r>
      <w:r>
        <w:rPr>
          <w:rFonts w:ascii="Arial" w:hAnsi="Arial" w:cs="Arial"/>
          <w:sz w:val="20"/>
        </w:rPr>
        <w:sym w:font="Arial" w:char="0069"/>
      </w:r>
      <w:r>
        <w:rPr>
          <w:rFonts w:ascii="Arial" w:hAnsi="Arial" w:cs="Arial"/>
          <w:sz w:val="20"/>
        </w:rPr>
        <w:sym w:font="Arial" w:char="0063"/>
      </w:r>
      <w:r>
        <w:rPr>
          <w:rFonts w:ascii="Arial" w:hAnsi="Arial" w:cs="Arial"/>
          <w:sz w:val="20"/>
        </w:rPr>
        <w:sym w:font="Arial" w:char="0065"/>
      </w:r>
      <w:r>
        <w:rPr>
          <w:rFonts w:ascii="Arial" w:hAnsi="Arial" w:cs="Arial"/>
          <w:sz w:val="20"/>
        </w:rPr>
        <w:sym w:font="Arial" w:char="0020"/>
      </w:r>
      <w:r>
        <w:rPr>
          <w:rFonts w:ascii="Arial" w:hAnsi="Arial" w:cs="Arial"/>
          <w:sz w:val="20"/>
        </w:rPr>
        <w:sym w:font="Arial" w:char="0061"/>
      </w:r>
      <w:r>
        <w:rPr>
          <w:rFonts w:ascii="Arial" w:hAnsi="Arial" w:cs="Arial"/>
          <w:sz w:val="20"/>
        </w:rPr>
        <w:sym w:font="Arial" w:char="0074"/>
      </w:r>
      <w:r>
        <w:rPr>
          <w:rFonts w:ascii="Arial" w:hAnsi="Arial" w:cs="Arial"/>
          <w:sz w:val="20"/>
        </w:rPr>
        <w:sym w:font="Arial" w:char="005D"/>
      </w:r>
      <w:r>
        <w:rPr>
          <w:rFonts w:ascii="Arial" w:hAnsi="Arial" w:cs="Arial"/>
          <w:sz w:val="20"/>
        </w:rPr>
        <w:sym w:font="Arial" w:char="0020"/>
      </w:r>
      <w:r>
        <w:rPr>
          <w:rFonts w:ascii="Arial" w:hAnsi="Arial" w:cs="Arial"/>
          <w:sz w:val="20"/>
        </w:rPr>
        <w:sym w:font="Arial" w:char="005B"/>
      </w:r>
      <w:r>
        <w:rPr>
          <w:rFonts w:ascii="Arial" w:hAnsi="Arial" w:cs="Arial"/>
          <w:sz w:val="20"/>
        </w:rPr>
        <w:sym w:font="Arial" w:char="0070"/>
      </w:r>
      <w:r>
        <w:rPr>
          <w:rFonts w:ascii="Arial" w:hAnsi="Arial" w:cs="Arial"/>
          <w:sz w:val="20"/>
        </w:rPr>
        <w:sym w:font="Arial" w:char="0072"/>
      </w:r>
      <w:r>
        <w:rPr>
          <w:rFonts w:ascii="Arial" w:hAnsi="Arial" w:cs="Arial"/>
          <w:sz w:val="20"/>
        </w:rPr>
        <w:sym w:font="Arial" w:char="0069"/>
      </w:r>
      <w:r>
        <w:rPr>
          <w:rFonts w:ascii="Arial" w:hAnsi="Arial" w:cs="Arial"/>
          <w:sz w:val="20"/>
        </w:rPr>
        <w:sym w:font="Arial" w:char="006E"/>
      </w:r>
      <w:r>
        <w:rPr>
          <w:rFonts w:ascii="Arial" w:hAnsi="Arial" w:cs="Arial"/>
          <w:sz w:val="20"/>
        </w:rPr>
        <w:sym w:font="Arial" w:char="0063"/>
      </w:r>
      <w:r>
        <w:rPr>
          <w:rFonts w:ascii="Arial" w:hAnsi="Arial" w:cs="Arial"/>
          <w:sz w:val="20"/>
        </w:rPr>
        <w:sym w:font="Arial" w:char="0069"/>
      </w:r>
      <w:r>
        <w:rPr>
          <w:rFonts w:ascii="Arial" w:hAnsi="Arial" w:cs="Arial"/>
          <w:sz w:val="20"/>
        </w:rPr>
        <w:sym w:font="Arial" w:char="0070"/>
      </w:r>
      <w:r>
        <w:rPr>
          <w:rFonts w:ascii="Arial" w:hAnsi="Arial" w:cs="Arial"/>
          <w:sz w:val="20"/>
        </w:rPr>
        <w:sym w:font="Arial" w:char="0061"/>
      </w:r>
      <w:r>
        <w:rPr>
          <w:rFonts w:ascii="Arial" w:hAnsi="Arial" w:cs="Arial"/>
          <w:sz w:val="20"/>
        </w:rPr>
        <w:sym w:font="Arial" w:char="006C"/>
      </w:r>
      <w:r>
        <w:rPr>
          <w:rFonts w:ascii="Arial" w:hAnsi="Arial" w:cs="Arial"/>
          <w:sz w:val="20"/>
        </w:rPr>
        <w:sym w:font="Arial" w:char="0020"/>
      </w:r>
      <w:r>
        <w:rPr>
          <w:rFonts w:ascii="Arial" w:hAnsi="Arial" w:cs="Arial"/>
          <w:sz w:val="20"/>
        </w:rPr>
        <w:sym w:font="Arial" w:char="0070"/>
      </w:r>
      <w:r>
        <w:rPr>
          <w:rFonts w:ascii="Arial" w:hAnsi="Arial" w:cs="Arial"/>
          <w:sz w:val="20"/>
        </w:rPr>
        <w:sym w:font="Arial" w:char="006C"/>
      </w:r>
      <w:r>
        <w:rPr>
          <w:rFonts w:ascii="Arial" w:hAnsi="Arial" w:cs="Arial"/>
          <w:sz w:val="20"/>
        </w:rPr>
        <w:sym w:font="Arial" w:char="0061"/>
      </w:r>
      <w:r>
        <w:rPr>
          <w:rFonts w:ascii="Arial" w:hAnsi="Arial" w:cs="Arial"/>
          <w:sz w:val="20"/>
        </w:rPr>
        <w:sym w:font="Arial" w:char="0063"/>
      </w:r>
      <w:r>
        <w:rPr>
          <w:rFonts w:ascii="Arial" w:hAnsi="Arial" w:cs="Arial"/>
          <w:sz w:val="20"/>
        </w:rPr>
        <w:sym w:font="Arial" w:char="0065"/>
      </w:r>
      <w:r>
        <w:rPr>
          <w:rFonts w:ascii="Arial" w:hAnsi="Arial" w:cs="Arial"/>
          <w:sz w:val="20"/>
        </w:rPr>
        <w:sym w:font="Arial" w:char="0020"/>
      </w:r>
      <w:r>
        <w:rPr>
          <w:rFonts w:ascii="Arial" w:hAnsi="Arial" w:cs="Arial"/>
          <w:sz w:val="20"/>
        </w:rPr>
        <w:sym w:font="Arial" w:char="006F"/>
      </w:r>
      <w:r>
        <w:rPr>
          <w:rFonts w:ascii="Arial" w:hAnsi="Arial" w:cs="Arial"/>
          <w:sz w:val="20"/>
        </w:rPr>
        <w:sym w:font="Arial" w:char="0066"/>
      </w:r>
      <w:r>
        <w:rPr>
          <w:rFonts w:ascii="Arial" w:hAnsi="Arial" w:cs="Arial"/>
          <w:sz w:val="20"/>
        </w:rPr>
        <w:sym w:font="Arial" w:char="0020"/>
      </w:r>
      <w:r>
        <w:rPr>
          <w:rFonts w:ascii="Arial" w:hAnsi="Arial" w:cs="Arial"/>
          <w:sz w:val="20"/>
        </w:rPr>
        <w:sym w:font="Arial" w:char="0062"/>
      </w:r>
      <w:r>
        <w:rPr>
          <w:rFonts w:ascii="Arial" w:hAnsi="Arial" w:cs="Arial"/>
          <w:sz w:val="20"/>
        </w:rPr>
        <w:sym w:font="Arial" w:char="0075"/>
      </w:r>
      <w:r>
        <w:rPr>
          <w:rFonts w:ascii="Arial" w:hAnsi="Arial" w:cs="Arial"/>
          <w:sz w:val="20"/>
        </w:rPr>
        <w:sym w:font="Arial" w:char="0073"/>
      </w:r>
      <w:r>
        <w:rPr>
          <w:rFonts w:ascii="Arial" w:hAnsi="Arial" w:cs="Arial"/>
          <w:sz w:val="20"/>
        </w:rPr>
        <w:sym w:font="Arial" w:char="0069"/>
      </w:r>
      <w:r>
        <w:rPr>
          <w:rFonts w:ascii="Arial" w:hAnsi="Arial" w:cs="Arial"/>
          <w:sz w:val="20"/>
        </w:rPr>
        <w:sym w:font="Arial" w:char="006E"/>
      </w:r>
      <w:r>
        <w:rPr>
          <w:rFonts w:ascii="Arial" w:hAnsi="Arial" w:cs="Arial"/>
          <w:sz w:val="20"/>
        </w:rPr>
        <w:sym w:font="Arial" w:char="0065"/>
      </w:r>
      <w:r>
        <w:rPr>
          <w:rFonts w:ascii="Arial" w:hAnsi="Arial" w:cs="Arial"/>
          <w:sz w:val="20"/>
        </w:rPr>
        <w:sym w:font="Arial" w:char="0073"/>
      </w:r>
      <w:r>
        <w:rPr>
          <w:rFonts w:ascii="Arial" w:hAnsi="Arial" w:cs="Arial"/>
          <w:sz w:val="20"/>
        </w:rPr>
        <w:sym w:font="Arial" w:char="0073"/>
      </w:r>
      <w:r>
        <w:rPr>
          <w:rFonts w:ascii="Arial" w:hAnsi="Arial" w:cs="Arial"/>
          <w:sz w:val="20"/>
        </w:rPr>
        <w:sym w:font="Arial" w:char="0020"/>
      </w:r>
      <w:r>
        <w:rPr>
          <w:rFonts w:ascii="Arial" w:hAnsi="Arial" w:cs="Arial"/>
          <w:sz w:val="20"/>
        </w:rPr>
        <w:sym w:font="Arial" w:char="0061"/>
      </w:r>
      <w:r>
        <w:rPr>
          <w:rFonts w:ascii="Arial" w:hAnsi="Arial" w:cs="Arial"/>
          <w:sz w:val="20"/>
        </w:rPr>
        <w:sym w:font="Arial" w:char="0074"/>
      </w:r>
      <w:r>
        <w:rPr>
          <w:rFonts w:ascii="Arial" w:hAnsi="Arial" w:cs="Arial"/>
          <w:sz w:val="20"/>
        </w:rPr>
        <w:sym w:font="Arial" w:char="005D"/>
      </w:r>
      <w:r>
        <w:rPr>
          <w:rFonts w:ascii="Arial" w:hAnsi="Arial" w:cs="Arial"/>
          <w:sz w:val="20"/>
        </w:rPr>
        <w:sym w:font="Arial" w:char="0020"/>
      </w:r>
      <w:r>
        <w:rPr>
          <w:rFonts w:ascii="Arial" w:hAnsi="Arial" w:cs="Arial"/>
          <w:sz w:val="20"/>
        </w:rPr>
        <w:sym w:font="Arial" w:char="F075"/>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A0"/>
      </w:r>
      <w:r>
        <w:rPr>
          <w:rFonts w:ascii="Arial" w:hAnsi="Arial" w:cs="Arial"/>
          <w:sz w:val="20"/>
        </w:rPr>
        <w:sym w:font="Arial" w:char="0028"/>
      </w:r>
      <w:r>
        <w:rPr>
          <w:rFonts w:ascii="Arial" w:hAnsi="Arial" w:cs="Arial"/>
          <w:b/>
          <w:sz w:val="20"/>
        </w:rPr>
        <w:t>"Consumer Supplier"</w:t>
      </w:r>
      <w:r>
        <w:rPr>
          <w:rFonts w:ascii="Arial" w:hAnsi="Arial" w:cs="Arial"/>
          <w:sz w:val="20"/>
        </w:rPr>
        <w:t xml:space="preserve">) as licensee under this </w:t>
      </w:r>
      <w:r>
        <w:rPr>
          <w:rFonts w:ascii="Arial" w:hAnsi="Arial" w:cs="Arial"/>
          <w:sz w:val="20"/>
        </w:rPr>
        <w:t>agreement.</w:t>
      </w:r>
    </w:p>
    <w:p w14:paraId="16B9BEAC" w14:textId="77777777" w:rsidR="00B06F19" w:rsidRDefault="009A2766">
      <w:pPr>
        <w:pStyle w:val="MarginText"/>
        <w:keepNext/>
        <w:rPr>
          <w:rStyle w:val="bodystrongerChar"/>
          <w:rFonts w:ascii="Arial" w:hAnsi="Arial" w:cs="Arial"/>
          <w:sz w:val="20"/>
          <w:szCs w:val="20"/>
        </w:rPr>
      </w:pPr>
      <w:r>
        <w:rPr>
          <w:rStyle w:val="bodystrongerChar"/>
          <w:rFonts w:ascii="Arial" w:hAnsi="Arial" w:cs="Arial"/>
          <w:sz w:val="20"/>
          <w:szCs w:val="20"/>
        </w:rPr>
        <w:t xml:space="preserve">BACKGROUND: </w:t>
      </w:r>
    </w:p>
    <w:p w14:paraId="6ED48880" w14:textId="77777777" w:rsidR="00B06F19" w:rsidRDefault="009A2766">
      <w:pPr>
        <w:pStyle w:val="RecitalNumbering"/>
        <w:tabs>
          <w:tab w:val="num" w:pos="720"/>
        </w:tabs>
        <w:ind w:left="720" w:hanging="720"/>
        <w:rPr>
          <w:rFonts w:ascii="Arial" w:hAnsi="Arial" w:cs="Arial"/>
          <w:sz w:val="20"/>
        </w:rPr>
      </w:pPr>
      <w:r>
        <w:rPr>
          <w:rFonts w:ascii="Arial" w:hAnsi="Arial" w:cs="Arial"/>
          <w:sz w:val="20"/>
        </w:rPr>
        <w:t xml:space="preserve">The Provider Supplier has developed one or more Interfaces for access by third parties, in accordance with its obligations under the Interoperability Standard of the Catalogue Agreement. </w:t>
      </w:r>
    </w:p>
    <w:p w14:paraId="6A85834B" w14:textId="77777777" w:rsidR="00B06F19" w:rsidRDefault="009A2766">
      <w:pPr>
        <w:pStyle w:val="RecitalNumbering"/>
        <w:tabs>
          <w:tab w:val="num" w:pos="720"/>
        </w:tabs>
        <w:ind w:left="720" w:hanging="720"/>
        <w:rPr>
          <w:rFonts w:ascii="Arial" w:hAnsi="Arial" w:cs="Arial"/>
          <w:sz w:val="20"/>
        </w:rPr>
      </w:pPr>
      <w:r>
        <w:rPr>
          <w:rFonts w:ascii="Arial" w:hAnsi="Arial" w:cs="Arial"/>
          <w:sz w:val="20"/>
        </w:rPr>
        <w:t xml:space="preserve">The Interfaces which may be accessed in </w:t>
      </w:r>
      <w:r>
        <w:rPr>
          <w:rFonts w:ascii="Arial" w:hAnsi="Arial" w:cs="Arial"/>
          <w:sz w:val="20"/>
        </w:rPr>
        <w:t>conjunction with this Agreement are as stated within Appendix A, and may be altered or added to from time to time in accordance with the provisions of the Catalogue Agreement (managed by NHS Digital or its successor as the "</w:t>
      </w:r>
      <w:r>
        <w:rPr>
          <w:rFonts w:ascii="Arial" w:hAnsi="Arial" w:cs="Arial"/>
          <w:b/>
          <w:sz w:val="20"/>
        </w:rPr>
        <w:t>Catalogue Authority</w:t>
      </w:r>
      <w:r>
        <w:rPr>
          <w:rFonts w:ascii="Arial" w:hAnsi="Arial" w:cs="Arial"/>
          <w:sz w:val="20"/>
        </w:rPr>
        <w:t>").</w:t>
      </w:r>
    </w:p>
    <w:p w14:paraId="1F0ACA8F" w14:textId="77777777" w:rsidR="00B06F19" w:rsidRDefault="009A2766">
      <w:pPr>
        <w:pStyle w:val="RecitalNumbering"/>
        <w:tabs>
          <w:tab w:val="num" w:pos="720"/>
        </w:tabs>
        <w:ind w:left="720" w:hanging="720"/>
        <w:rPr>
          <w:rFonts w:ascii="Arial" w:hAnsi="Arial" w:cs="Arial"/>
          <w:sz w:val="20"/>
        </w:rPr>
      </w:pPr>
      <w:r>
        <w:rPr>
          <w:rFonts w:ascii="Arial" w:hAnsi="Arial" w:cs="Arial"/>
          <w:sz w:val="20"/>
        </w:rPr>
        <w:t>The Consu</w:t>
      </w:r>
      <w:r>
        <w:rPr>
          <w:rFonts w:ascii="Arial" w:hAnsi="Arial" w:cs="Arial"/>
          <w:sz w:val="20"/>
        </w:rPr>
        <w:t xml:space="preserve">mer Supplier wishes to access the Interfaces within the scope of this Agreement, which includes accessing confidential and protected data, in accordance with the specification of the Interface/s in question.    </w:t>
      </w:r>
    </w:p>
    <w:p w14:paraId="7C09A284" w14:textId="77777777" w:rsidR="00B06F19" w:rsidRDefault="009A2766">
      <w:pPr>
        <w:pStyle w:val="RecitalNumbering"/>
        <w:tabs>
          <w:tab w:val="num" w:pos="720"/>
        </w:tabs>
        <w:ind w:left="720" w:hanging="720"/>
        <w:rPr>
          <w:rFonts w:ascii="Arial" w:hAnsi="Arial" w:cs="Arial"/>
          <w:sz w:val="20"/>
        </w:rPr>
      </w:pPr>
      <w:r>
        <w:rPr>
          <w:rFonts w:ascii="Arial" w:hAnsi="Arial" w:cs="Arial"/>
          <w:sz w:val="20"/>
        </w:rPr>
        <w:t>This Agreement sets out the terms and condit</w:t>
      </w:r>
      <w:r>
        <w:rPr>
          <w:rFonts w:ascii="Arial" w:hAnsi="Arial" w:cs="Arial"/>
          <w:sz w:val="20"/>
        </w:rPr>
        <w:t xml:space="preserve">ions which govern the connection to the relevant Interface, in respect of grant and delivery of the connection, completion of the licence documentation and access to the live Interface/s.  </w:t>
      </w:r>
    </w:p>
    <w:p w14:paraId="18ACA89A" w14:textId="77777777" w:rsidR="00B06F19" w:rsidRDefault="009A2766">
      <w:pPr>
        <w:pStyle w:val="RecitalNumbering"/>
        <w:tabs>
          <w:tab w:val="num" w:pos="720"/>
        </w:tabs>
        <w:ind w:left="720" w:hanging="720"/>
        <w:rPr>
          <w:rFonts w:ascii="Arial" w:hAnsi="Arial" w:cs="Arial"/>
          <w:sz w:val="20"/>
        </w:rPr>
      </w:pPr>
      <w:r>
        <w:rPr>
          <w:rFonts w:ascii="Arial" w:hAnsi="Arial" w:cs="Arial"/>
          <w:sz w:val="20"/>
        </w:rPr>
        <w:t>This Agreement, in conjunction with the Commercial Standard plus a</w:t>
      </w:r>
      <w:r>
        <w:rPr>
          <w:rFonts w:ascii="Arial" w:hAnsi="Arial" w:cs="Arial"/>
          <w:sz w:val="20"/>
        </w:rPr>
        <w:t xml:space="preserve">ny relevant Framework Agreements, also sets out how charges may be payable for the provision of services by the Provider Supplier and include Benchmark Data provisions which may be used for determining appropriate charge rates.  </w:t>
      </w:r>
    </w:p>
    <w:p w14:paraId="32CCDF28" w14:textId="77777777" w:rsidR="00B06F19" w:rsidRDefault="009A2766">
      <w:pPr>
        <w:pStyle w:val="MarginText"/>
        <w:keepNext/>
        <w:rPr>
          <w:rFonts w:ascii="Arial" w:hAnsi="Arial" w:cs="Arial"/>
          <w:b/>
          <w:sz w:val="20"/>
        </w:rPr>
      </w:pPr>
      <w:r>
        <w:rPr>
          <w:rFonts w:ascii="Arial" w:hAnsi="Arial" w:cs="Arial"/>
          <w:b/>
          <w:sz w:val="20"/>
        </w:rPr>
        <w:t>IT IS AGREED:</w:t>
      </w:r>
    </w:p>
    <w:p w14:paraId="7899D8BF" w14:textId="77777777" w:rsidR="00B06F19" w:rsidRDefault="009A2766">
      <w:pPr>
        <w:pStyle w:val="Heading1"/>
      </w:pPr>
      <w:bookmarkStart w:id="29" w:name="_Toc422303972"/>
      <w:bookmarkStart w:id="30" w:name="_Toc8389560"/>
      <w:r>
        <w:t xml:space="preserve">DEFINITIONS </w:t>
      </w:r>
      <w:r>
        <w:t>AND INTERPRETATION</w:t>
      </w:r>
      <w:bookmarkEnd w:id="29"/>
      <w:bookmarkEnd w:id="30"/>
    </w:p>
    <w:p w14:paraId="411D01B6" w14:textId="77777777" w:rsidR="00B06F19" w:rsidRDefault="009A2766">
      <w:pPr>
        <w:pStyle w:val="Heading2"/>
        <w:keepNext/>
        <w:rPr>
          <w:rFonts w:ascii="Arial" w:hAnsi="Arial" w:cs="Arial"/>
          <w:sz w:val="20"/>
        </w:rPr>
      </w:pPr>
      <w:bookmarkStart w:id="31" w:name="_Ref400115504"/>
      <w:r>
        <w:rPr>
          <w:rFonts w:ascii="Arial" w:hAnsi="Arial" w:cs="Arial"/>
          <w:sz w:val="20"/>
        </w:rPr>
        <w:t>In this Agreement, capitalised words and phrases shall have the meaning given in Schedule </w:t>
      </w:r>
      <w:bookmarkEnd w:id="31"/>
      <w:r>
        <w:rPr>
          <w:rFonts w:ascii="Arial" w:hAnsi="Arial" w:cs="Arial"/>
          <w:sz w:val="20"/>
        </w:rPr>
        <w:fldChar w:fldCharType="begin"/>
      </w:r>
      <w:r>
        <w:rPr>
          <w:rFonts w:ascii="Arial" w:hAnsi="Arial" w:cs="Arial"/>
          <w:sz w:val="20"/>
        </w:rPr>
        <w:instrText xml:space="preserve"> REF _Ref400117959 \n \h \# "#"</w:instrText>
      </w:r>
      <w:r>
        <w:rPr>
          <w:rFonts w:ascii="Arial" w:hAnsi="Arial" w:cs="Arial"/>
          <w:sz w:val="20"/>
        </w:rPr>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(unless the context requires otherwise).</w:t>
      </w:r>
    </w:p>
    <w:p w14:paraId="10D7735E" w14:textId="77777777" w:rsidR="00B06F19" w:rsidRDefault="009A2766">
      <w:pPr>
        <w:pStyle w:val="Heading2"/>
        <w:keepNext/>
        <w:rPr>
          <w:rFonts w:ascii="Arial" w:hAnsi="Arial" w:cs="Arial"/>
          <w:sz w:val="20"/>
        </w:rPr>
      </w:pPr>
      <w:r>
        <w:rPr>
          <w:rFonts w:ascii="Arial" w:hAnsi="Arial" w:cs="Arial"/>
          <w:sz w:val="20"/>
        </w:rPr>
        <w:t>In thi</w:t>
      </w:r>
      <w:r>
        <w:rPr>
          <w:rFonts w:ascii="Arial" w:hAnsi="Arial" w:cs="Arial"/>
          <w:sz w:val="20"/>
        </w:rPr>
        <w:t>s Agreement (unless the context requires otherwise):</w:t>
      </w:r>
    </w:p>
    <w:p w14:paraId="3471A53B" w14:textId="77777777" w:rsidR="00B06F19" w:rsidRDefault="009A2766">
      <w:pPr>
        <w:pStyle w:val="Heading3"/>
        <w:rPr>
          <w:rFonts w:ascii="Arial" w:hAnsi="Arial" w:cs="Arial"/>
          <w:sz w:val="20"/>
        </w:rPr>
      </w:pPr>
      <w:bookmarkStart w:id="32" w:name="_Ref422839631"/>
      <w:r>
        <w:rPr>
          <w:rFonts w:ascii="Arial" w:hAnsi="Arial" w:cs="Arial"/>
          <w:sz w:val="20"/>
        </w:rPr>
        <w:t>the words "including", "include", "for example", "in particular" and words of similar effect shall be construed so that they do not limit the general effect of the words which precede them, and so that a</w:t>
      </w:r>
      <w:r>
        <w:rPr>
          <w:rFonts w:ascii="Arial" w:hAnsi="Arial" w:cs="Arial"/>
          <w:sz w:val="20"/>
        </w:rPr>
        <w:t>ny examples that are given are not to be exclusive or limiting examples of the matters in question;</w:t>
      </w:r>
      <w:bookmarkEnd w:id="32"/>
    </w:p>
    <w:p w14:paraId="06DC983C" w14:textId="77777777" w:rsidR="00B06F19" w:rsidRDefault="009A2766">
      <w:pPr>
        <w:pStyle w:val="Heading3"/>
        <w:rPr>
          <w:rFonts w:ascii="Arial" w:hAnsi="Arial" w:cs="Arial"/>
          <w:sz w:val="20"/>
        </w:rPr>
      </w:pPr>
      <w:bookmarkStart w:id="33" w:name="_Ref422839632"/>
      <w:r>
        <w:rPr>
          <w:rFonts w:ascii="Arial" w:hAnsi="Arial" w:cs="Arial"/>
          <w:sz w:val="20"/>
        </w:rPr>
        <w:t xml:space="preserve">references to this Agreement and any other document referred to in this Agreement, is a reference to it as validly varied, supplemented and/or novated from </w:t>
      </w:r>
      <w:r>
        <w:rPr>
          <w:rFonts w:ascii="Arial" w:hAnsi="Arial" w:cs="Arial"/>
          <w:sz w:val="20"/>
        </w:rPr>
        <w:t>time to time;</w:t>
      </w:r>
      <w:bookmarkEnd w:id="33"/>
    </w:p>
    <w:p w14:paraId="57C8FA6E" w14:textId="77777777" w:rsidR="00B06F19" w:rsidRDefault="009A2766">
      <w:pPr>
        <w:pStyle w:val="Heading3"/>
        <w:rPr>
          <w:rFonts w:ascii="Arial" w:hAnsi="Arial" w:cs="Arial"/>
          <w:sz w:val="20"/>
        </w:rPr>
      </w:pPr>
      <w:bookmarkStart w:id="34" w:name="_Ref422839633"/>
      <w:r>
        <w:rPr>
          <w:rFonts w:ascii="Arial" w:hAnsi="Arial" w:cs="Arial"/>
          <w:sz w:val="20"/>
        </w:rPr>
        <w:t>references to any party include (where applicable), its lawful successors, permitted assignees and permitted transferees;</w:t>
      </w:r>
      <w:bookmarkEnd w:id="34"/>
    </w:p>
    <w:p w14:paraId="543C367C" w14:textId="77777777" w:rsidR="00B06F19" w:rsidRDefault="009A2766">
      <w:pPr>
        <w:pStyle w:val="Heading3"/>
        <w:rPr>
          <w:rFonts w:ascii="Arial" w:hAnsi="Arial" w:cs="Arial"/>
          <w:sz w:val="20"/>
        </w:rPr>
      </w:pPr>
      <w:r>
        <w:rPr>
          <w:rFonts w:ascii="Arial" w:hAnsi="Arial" w:cs="Arial"/>
          <w:sz w:val="20"/>
        </w:rPr>
        <w:lastRenderedPageBreak/>
        <w:t xml:space="preserve">general references to a "person" shall be understood to include (as applicable), a natural person, a company, a </w:t>
      </w:r>
      <w:r>
        <w:rPr>
          <w:rFonts w:ascii="Arial" w:hAnsi="Arial" w:cs="Arial"/>
          <w:sz w:val="20"/>
        </w:rPr>
        <w:t>partnership, and an unincorporated association (in each case whether or not having separate legal personality);</w:t>
      </w:r>
    </w:p>
    <w:p w14:paraId="25031BCC" w14:textId="77777777" w:rsidR="00B06F19" w:rsidRDefault="009A2766">
      <w:pPr>
        <w:pStyle w:val="Heading3"/>
        <w:rPr>
          <w:rFonts w:ascii="Arial" w:hAnsi="Arial" w:cs="Arial"/>
          <w:sz w:val="20"/>
        </w:rPr>
      </w:pPr>
      <w:r>
        <w:rPr>
          <w:rFonts w:ascii="Arial" w:hAnsi="Arial" w:cs="Arial"/>
          <w:sz w:val="20"/>
        </w:rPr>
        <w:t>general references to a "company" shall be understood to include any (as applicable), company, corporation and body corporate, and any other ent</w:t>
      </w:r>
      <w:r>
        <w:rPr>
          <w:rFonts w:ascii="Arial" w:hAnsi="Arial" w:cs="Arial"/>
          <w:sz w:val="20"/>
        </w:rPr>
        <w:t>ity having separate legal personality, wherever and however incorporated or established;</w:t>
      </w:r>
    </w:p>
    <w:p w14:paraId="034E3868" w14:textId="77777777" w:rsidR="00B06F19" w:rsidRDefault="009A2766">
      <w:pPr>
        <w:pStyle w:val="Heading3"/>
        <w:rPr>
          <w:rFonts w:ascii="Arial" w:hAnsi="Arial" w:cs="Arial"/>
          <w:sz w:val="20"/>
        </w:rPr>
      </w:pPr>
      <w:bookmarkStart w:id="35" w:name="_Ref422839634"/>
      <w:r>
        <w:rPr>
          <w:rFonts w:ascii="Arial" w:hAnsi="Arial" w:cs="Arial"/>
          <w:sz w:val="20"/>
        </w:rPr>
        <w:t>references to the singular include the plural and vice versa;</w:t>
      </w:r>
      <w:bookmarkEnd w:id="35"/>
    </w:p>
    <w:p w14:paraId="6AD69258" w14:textId="77777777" w:rsidR="00B06F19" w:rsidRDefault="009A2766">
      <w:pPr>
        <w:pStyle w:val="Heading3"/>
        <w:rPr>
          <w:rFonts w:ascii="Arial" w:hAnsi="Arial" w:cs="Arial"/>
          <w:sz w:val="20"/>
        </w:rPr>
      </w:pPr>
      <w:r>
        <w:rPr>
          <w:rFonts w:ascii="Arial" w:hAnsi="Arial" w:cs="Arial"/>
          <w:sz w:val="20"/>
        </w:rPr>
        <w:t>references to any one gender do not exclude other genders; and</w:t>
      </w:r>
    </w:p>
    <w:p w14:paraId="44B92C63" w14:textId="77777777" w:rsidR="00B06F19" w:rsidRDefault="009A2766">
      <w:pPr>
        <w:pStyle w:val="Heading3"/>
        <w:rPr>
          <w:rFonts w:ascii="Arial" w:hAnsi="Arial" w:cs="Arial"/>
          <w:sz w:val="20"/>
        </w:rPr>
      </w:pPr>
      <w:bookmarkStart w:id="36" w:name="_Ref431974670"/>
      <w:r>
        <w:rPr>
          <w:rFonts w:ascii="Arial" w:hAnsi="Arial" w:cs="Arial"/>
          <w:sz w:val="20"/>
        </w:rPr>
        <w:t>recitals and headings are all for referenc</w:t>
      </w:r>
      <w:r>
        <w:rPr>
          <w:rFonts w:ascii="Arial" w:hAnsi="Arial" w:cs="Arial"/>
          <w:sz w:val="20"/>
        </w:rPr>
        <w:t>e only and shall be ignored in construing this Agreement.</w:t>
      </w:r>
    </w:p>
    <w:p w14:paraId="0EE8AA75" w14:textId="77777777" w:rsidR="00B06F19" w:rsidRDefault="009A2766">
      <w:pPr>
        <w:pStyle w:val="Heading1"/>
      </w:pPr>
      <w:bookmarkStart w:id="37" w:name="_Toc8389561"/>
      <w:bookmarkStart w:id="38" w:name="_Toc422303973"/>
      <w:bookmarkEnd w:id="36"/>
      <w:r>
        <w:t>duration</w:t>
      </w:r>
      <w:bookmarkEnd w:id="37"/>
    </w:p>
    <w:p w14:paraId="0EE011D7" w14:textId="77777777" w:rsidR="00B06F19" w:rsidRDefault="009A2766">
      <w:pPr>
        <w:pStyle w:val="Heading2"/>
        <w:rPr>
          <w:rFonts w:ascii="Arial" w:hAnsi="Arial" w:cs="Arial"/>
          <w:sz w:val="20"/>
        </w:rPr>
      </w:pPr>
      <w:r>
        <w:rPr>
          <w:rFonts w:ascii="Arial" w:hAnsi="Arial" w:cs="Arial"/>
          <w:sz w:val="20"/>
        </w:rPr>
        <w:t>This Agreement shall come into force on the Commencement Date and shall continue in force until it is terminated by operation of law or in accordance with its terms.</w:t>
      </w:r>
    </w:p>
    <w:p w14:paraId="45191596" w14:textId="77777777" w:rsidR="00B06F19" w:rsidRDefault="009A2766">
      <w:pPr>
        <w:pStyle w:val="Heading2"/>
        <w:rPr>
          <w:rFonts w:ascii="Arial" w:hAnsi="Arial" w:cs="Arial"/>
          <w:sz w:val="20"/>
        </w:rPr>
      </w:pPr>
      <w:r>
        <w:rPr>
          <w:rFonts w:ascii="Arial" w:hAnsi="Arial" w:cs="Arial"/>
          <w:sz w:val="20"/>
        </w:rPr>
        <w:t>Unless otherwise agreed</w:t>
      </w:r>
      <w:r>
        <w:rPr>
          <w:rFonts w:ascii="Arial" w:hAnsi="Arial" w:cs="Arial"/>
          <w:sz w:val="20"/>
        </w:rPr>
        <w:t xml:space="preserve"> in writing by the parties, this Agreement shall be deemed to expire 18 months from the Commencement Date where the Consumer Supplier has not achieved a Connection as recorded between the parties.</w:t>
      </w:r>
    </w:p>
    <w:p w14:paraId="6E5DE2F9" w14:textId="77777777" w:rsidR="00B06F19" w:rsidRDefault="009A2766">
      <w:pPr>
        <w:pStyle w:val="Heading2"/>
        <w:rPr>
          <w:rFonts w:ascii="Arial" w:hAnsi="Arial" w:cs="Arial"/>
          <w:sz w:val="20"/>
        </w:rPr>
      </w:pPr>
      <w:r>
        <w:rPr>
          <w:rFonts w:ascii="Arial" w:hAnsi="Arial" w:cs="Arial"/>
          <w:sz w:val="20"/>
        </w:rPr>
        <w:t xml:space="preserve">The Consumer Supplier may terminate this Agreement without </w:t>
      </w:r>
      <w:r>
        <w:rPr>
          <w:rFonts w:ascii="Arial" w:hAnsi="Arial" w:cs="Arial"/>
          <w:sz w:val="20"/>
        </w:rPr>
        <w:t>cause upon giving one month’s written notice.</w:t>
      </w:r>
    </w:p>
    <w:p w14:paraId="22D94F3D" w14:textId="77777777" w:rsidR="00B06F19" w:rsidRDefault="009A2766">
      <w:pPr>
        <w:pStyle w:val="Heading1"/>
      </w:pPr>
      <w:bookmarkStart w:id="39" w:name="_Ref8217570"/>
      <w:bookmarkStart w:id="40" w:name="_Toc8389562"/>
      <w:r>
        <w:t>grant of licence</w:t>
      </w:r>
      <w:bookmarkStart w:id="41" w:name="_11434072-f2c4-49a2-8608-2506905bcaed"/>
      <w:bookmarkEnd w:id="39"/>
      <w:bookmarkEnd w:id="40"/>
      <w:bookmarkEnd w:id="41"/>
    </w:p>
    <w:p w14:paraId="05C1967A" w14:textId="77777777" w:rsidR="00B06F19" w:rsidRDefault="009A2766">
      <w:pPr>
        <w:pStyle w:val="Heading2"/>
        <w:rPr>
          <w:rFonts w:ascii="Arial" w:hAnsi="Arial" w:cs="Arial"/>
          <w:sz w:val="20"/>
        </w:rPr>
      </w:pPr>
      <w:r>
        <w:rPr>
          <w:rFonts w:ascii="Arial" w:hAnsi="Arial" w:cs="Arial"/>
          <w:sz w:val="20"/>
        </w:rPr>
        <w:t>In consideration of the Consumer Supplier performing its obligations in accordance with this Agreement, the Provider Supplier grants the Consumer Supplier a non-exclusive, non-transferable lice</w:t>
      </w:r>
      <w:r>
        <w:rPr>
          <w:rFonts w:ascii="Arial" w:hAnsi="Arial" w:cs="Arial"/>
          <w:sz w:val="20"/>
        </w:rPr>
        <w:t>nce to use the Provider Supplier's Interface(s) prior to the Connection Go Live Date for use in a supported test environment; and from the Connection Go Live Date for use in a live environment, as set out in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and subject to the restrictions set out in this Agreement.</w:t>
      </w:r>
    </w:p>
    <w:p w14:paraId="6EB68C73" w14:textId="77777777" w:rsidR="00B06F19" w:rsidRDefault="009A2766">
      <w:pPr>
        <w:pStyle w:val="Heading2"/>
        <w:rPr>
          <w:rFonts w:ascii="Arial" w:hAnsi="Arial" w:cs="Arial"/>
          <w:sz w:val="20"/>
        </w:rPr>
      </w:pPr>
      <w:r>
        <w:rPr>
          <w:rFonts w:ascii="Arial" w:hAnsi="Arial" w:cs="Arial"/>
          <w:sz w:val="20"/>
        </w:rPr>
        <w:t>Prior to the Connection Go Live Date, the parties shall complete the template document set out in Schedule 6, and then wi</w:t>
      </w:r>
      <w:r>
        <w:rPr>
          <w:rFonts w:ascii="Arial" w:hAnsi="Arial" w:cs="Arial"/>
          <w:sz w:val="20"/>
        </w:rPr>
        <w:t>th effect from the Connection Go Live Date:</w:t>
      </w:r>
    </w:p>
    <w:p w14:paraId="6C371894" w14:textId="77777777" w:rsidR="00B06F19" w:rsidRDefault="009A2766">
      <w:pPr>
        <w:pStyle w:val="Heading3"/>
        <w:rPr>
          <w:rFonts w:ascii="Arial" w:hAnsi="Arial" w:cs="Arial"/>
          <w:sz w:val="20"/>
        </w:rPr>
      </w:pPr>
      <w:r>
        <w:rPr>
          <w:rFonts w:ascii="Arial" w:hAnsi="Arial" w:cs="Arial"/>
          <w:sz w:val="20"/>
        </w:rPr>
        <w:t>the completed SCAL shall be incorporated as a revised Schedule </w:t>
      </w:r>
      <w:r>
        <w:rPr>
          <w:rFonts w:ascii="Arial" w:hAnsi="Arial" w:cs="Arial"/>
          <w:sz w:val="20"/>
        </w:rPr>
        <w:fldChar w:fldCharType="begin"/>
      </w:r>
      <w:r>
        <w:rPr>
          <w:rFonts w:ascii="Arial" w:hAnsi="Arial" w:cs="Arial"/>
          <w:sz w:val="20"/>
        </w:rPr>
        <w:instrText xml:space="preserve"> REF _Ref8216705 \n \h \# "#" \* MERGEFORMAT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xml:space="preserve"> to this Agreement; </w:t>
      </w:r>
    </w:p>
    <w:p w14:paraId="18B6C8E6" w14:textId="77777777" w:rsidR="00B06F19" w:rsidRDefault="009A2766">
      <w:pPr>
        <w:pStyle w:val="Heading3"/>
        <w:rPr>
          <w:rFonts w:ascii="Arial" w:hAnsi="Arial" w:cs="Arial"/>
          <w:sz w:val="20"/>
        </w:rPr>
      </w:pPr>
      <w:r>
        <w:rPr>
          <w:rFonts w:ascii="Arial" w:hAnsi="Arial" w:cs="Arial"/>
          <w:sz w:val="20"/>
        </w:rPr>
        <w:t>an updated versio</w:t>
      </w:r>
      <w:r>
        <w:rPr>
          <w:rFonts w:ascii="Arial" w:hAnsi="Arial" w:cs="Arial"/>
          <w:sz w:val="20"/>
        </w:rPr>
        <w:t xml:space="preserve">n of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which shall supersede the previous version;</w:t>
      </w:r>
    </w:p>
    <w:p w14:paraId="3745DF05" w14:textId="77777777" w:rsidR="00B06F19" w:rsidRDefault="009A2766">
      <w:pPr>
        <w:pStyle w:val="Heading3"/>
        <w:rPr>
          <w:rFonts w:ascii="Arial" w:hAnsi="Arial" w:cs="Arial"/>
          <w:sz w:val="20"/>
        </w:rPr>
      </w:pPr>
      <w:r>
        <w:rPr>
          <w:rFonts w:ascii="Arial" w:hAnsi="Arial" w:cs="Arial"/>
          <w:sz w:val="20"/>
        </w:rPr>
        <w:t>if applicable, a completed version of the charges table in Schedule </w:t>
      </w:r>
      <w:r>
        <w:rPr>
          <w:rFonts w:ascii="Arial" w:hAnsi="Arial" w:cs="Arial"/>
          <w:sz w:val="20"/>
        </w:rPr>
        <w:fldChar w:fldCharType="begin"/>
      </w:r>
      <w:r>
        <w:rPr>
          <w:rFonts w:ascii="Arial" w:hAnsi="Arial" w:cs="Arial"/>
          <w:sz w:val="20"/>
        </w:rPr>
        <w:instrText xml:space="preserve"> REF _Ref278</w:instrText>
      </w:r>
      <w:r>
        <w:rPr>
          <w:rFonts w:ascii="Arial" w:hAnsi="Arial" w:cs="Arial"/>
          <w:sz w:val="20"/>
        </w:rPr>
        <w:instrText xml:space="preserve">3792 \n \h \# "#" \* MERGEFORMAT </w:instrText>
      </w:r>
      <w:r>
        <w:rPr>
          <w:rFonts w:ascii="Arial" w:hAnsi="Arial" w:cs="Arial"/>
          <w:sz w:val="20"/>
        </w:rPr>
      </w:r>
      <w:r>
        <w:rPr>
          <w:rFonts w:ascii="Arial" w:hAnsi="Arial" w:cs="Arial"/>
          <w:sz w:val="20"/>
        </w:rPr>
        <w:fldChar w:fldCharType="separate"/>
      </w:r>
      <w:r>
        <w:rPr>
          <w:rFonts w:ascii="Arial" w:hAnsi="Arial" w:cs="Arial"/>
          <w:sz w:val="20"/>
        </w:rPr>
        <w:t xml:space="preserve"> </w:t>
      </w:r>
      <w:r>
        <w:rPr>
          <w:rFonts w:ascii="Arial" w:hAnsi="Arial" w:cs="Arial"/>
          <w:sz w:val="20"/>
        </w:rPr>
        <w:fldChar w:fldCharType="end"/>
      </w:r>
      <w:r>
        <w:rPr>
          <w:rFonts w:ascii="Arial" w:hAnsi="Arial" w:cs="Arial"/>
          <w:sz w:val="20"/>
        </w:rPr>
        <w:t xml:space="preserve"> (Charges) shall be completed;   </w:t>
      </w:r>
    </w:p>
    <w:p w14:paraId="0E8996E4" w14:textId="77777777" w:rsidR="00B06F19" w:rsidRDefault="009A2766">
      <w:pPr>
        <w:pStyle w:val="Heading3"/>
        <w:rPr>
          <w:rFonts w:ascii="Arial" w:hAnsi="Arial" w:cs="Arial"/>
          <w:sz w:val="20"/>
        </w:rPr>
      </w:pPr>
      <w:r>
        <w:rPr>
          <w:rFonts w:ascii="Arial" w:hAnsi="Arial" w:cs="Arial"/>
          <w:sz w:val="20"/>
        </w:rPr>
        <w:t xml:space="preserve">the Agreement shall be identified as a live environment licence with the name set out in the confirmatory </w:t>
      </w:r>
      <w:r>
        <w:rPr>
          <w:rFonts w:ascii="Arial" w:hAnsi="Arial" w:cs="Arial"/>
          <w:sz w:val="20"/>
        </w:rPr>
        <w:t>statement (using [Interface Name] Interface Licence [Consumer Supplier Name].</w:t>
      </w:r>
    </w:p>
    <w:p w14:paraId="4F6E54A9" w14:textId="77777777" w:rsidR="00B06F19" w:rsidRDefault="009A2766">
      <w:pPr>
        <w:pStyle w:val="Heading2"/>
        <w:rPr>
          <w:rFonts w:ascii="Arial" w:hAnsi="Arial" w:cs="Arial"/>
          <w:sz w:val="20"/>
        </w:rPr>
      </w:pPr>
      <w:r>
        <w:rPr>
          <w:rFonts w:ascii="Arial" w:hAnsi="Arial" w:cs="Arial"/>
          <w:sz w:val="20"/>
        </w:rPr>
        <w:t>The right to use the Provider Supplier's Interface is conditional on:</w:t>
      </w:r>
    </w:p>
    <w:p w14:paraId="56B2BB33" w14:textId="77777777" w:rsidR="00B06F19" w:rsidRDefault="009A2766">
      <w:pPr>
        <w:pStyle w:val="Heading3"/>
        <w:rPr>
          <w:rFonts w:ascii="Arial" w:hAnsi="Arial" w:cs="Arial"/>
          <w:sz w:val="20"/>
        </w:rPr>
      </w:pPr>
      <w:r>
        <w:rPr>
          <w:rFonts w:ascii="Arial" w:hAnsi="Arial" w:cs="Arial"/>
          <w:sz w:val="20"/>
        </w:rPr>
        <w:t>the Consumer Supplier demonstrating compliance with the requirements noted within the Supplier Conformance A</w:t>
      </w:r>
      <w:r>
        <w:rPr>
          <w:rFonts w:ascii="Arial" w:hAnsi="Arial" w:cs="Arial"/>
          <w:sz w:val="20"/>
        </w:rPr>
        <w:t>ssessment List;</w:t>
      </w:r>
    </w:p>
    <w:p w14:paraId="21C46B45" w14:textId="77777777" w:rsidR="00B06F19" w:rsidRDefault="009A2766">
      <w:pPr>
        <w:pStyle w:val="Heading3"/>
        <w:rPr>
          <w:rFonts w:ascii="Arial" w:hAnsi="Arial" w:cs="Arial"/>
          <w:sz w:val="20"/>
        </w:rPr>
      </w:pPr>
      <w:r>
        <w:rPr>
          <w:rFonts w:ascii="Arial" w:hAnsi="Arial" w:cs="Arial"/>
          <w:sz w:val="20"/>
        </w:rPr>
        <w:lastRenderedPageBreak/>
        <w:t>the Consumer Supplier demonstrating that it has all necessary and appropriate permissions for accessing and use of NHS Data;</w:t>
      </w:r>
    </w:p>
    <w:p w14:paraId="07540472" w14:textId="77777777" w:rsidR="00B06F19" w:rsidRDefault="009A2766">
      <w:pPr>
        <w:pStyle w:val="Heading3"/>
        <w:rPr>
          <w:rFonts w:ascii="Arial" w:hAnsi="Arial" w:cs="Arial"/>
          <w:sz w:val="20"/>
        </w:rPr>
      </w:pPr>
      <w:r>
        <w:rPr>
          <w:rFonts w:ascii="Arial" w:hAnsi="Arial" w:cs="Arial"/>
          <w:sz w:val="20"/>
        </w:rPr>
        <w:t>the Consumer Supplier demonstrating that it has implemented its API Connection correctly, in accordance with the co</w:t>
      </w:r>
      <w:r>
        <w:rPr>
          <w:rFonts w:ascii="Arial" w:hAnsi="Arial" w:cs="Arial"/>
          <w:sz w:val="20"/>
        </w:rPr>
        <w:t>nnection process methods described within clause </w:t>
      </w:r>
      <w:r>
        <w:rPr>
          <w:rFonts w:ascii="Arial" w:hAnsi="Arial" w:cs="Arial"/>
          <w:sz w:val="20"/>
        </w:rPr>
        <w:fldChar w:fldCharType="begin"/>
      </w:r>
      <w:r>
        <w:rPr>
          <w:rFonts w:ascii="Arial" w:hAnsi="Arial" w:cs="Arial"/>
          <w:sz w:val="20"/>
        </w:rPr>
        <w:instrText xml:space="preserve"> REF _Ref1637095 \r \h  \* MERGEFORMAT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r>
        <w:rPr>
          <w:rFonts w:ascii="Arial" w:hAnsi="Arial" w:cs="Arial"/>
          <w:sz w:val="20"/>
        </w:rPr>
        <w:t>; and</w:t>
      </w:r>
    </w:p>
    <w:p w14:paraId="3D3B3CBE" w14:textId="77777777" w:rsidR="00B06F19" w:rsidRDefault="009A2766">
      <w:pPr>
        <w:pStyle w:val="Heading3"/>
        <w:rPr>
          <w:rFonts w:ascii="Arial" w:hAnsi="Arial" w:cs="Arial"/>
          <w:sz w:val="20"/>
        </w:rPr>
      </w:pPr>
      <w:r>
        <w:rPr>
          <w:rFonts w:ascii="Arial" w:hAnsi="Arial" w:cs="Arial"/>
          <w:sz w:val="20"/>
        </w:rPr>
        <w:t xml:space="preserve">the Consumer Supplier operating reasonably within the boundaries of the Fair Usage </w:t>
      </w:r>
      <w:r>
        <w:rPr>
          <w:rFonts w:ascii="Arial" w:hAnsi="Arial" w:cs="Arial"/>
          <w:sz w:val="20"/>
        </w:rPr>
        <w:t>Policy.</w:t>
      </w:r>
    </w:p>
    <w:p w14:paraId="249608C3" w14:textId="77777777" w:rsidR="00B06F19" w:rsidRDefault="009A2766">
      <w:pPr>
        <w:pStyle w:val="Heading2"/>
        <w:rPr>
          <w:rFonts w:ascii="Arial" w:hAnsi="Arial" w:cs="Arial"/>
          <w:sz w:val="20"/>
        </w:rPr>
      </w:pPr>
      <w:r>
        <w:rPr>
          <w:rFonts w:ascii="Arial" w:hAnsi="Arial" w:cs="Arial"/>
          <w:sz w:val="20"/>
        </w:rPr>
        <w:t>This Agreement does not permit the Consumer Supplier to use any Provider Supplier's Interface for or in conjunction with any purpose which is not expressly described or referred to in this Agreement.</w:t>
      </w:r>
      <w:bookmarkStart w:id="42" w:name="_84ce9312-5f4d-4904-942b-018b91679cd0"/>
      <w:bookmarkEnd w:id="42"/>
    </w:p>
    <w:p w14:paraId="2ADADC1C" w14:textId="77777777" w:rsidR="00B06F19" w:rsidRDefault="009A2766">
      <w:pPr>
        <w:pStyle w:val="Heading2"/>
        <w:rPr>
          <w:rFonts w:ascii="Arial" w:hAnsi="Arial" w:cs="Arial"/>
          <w:sz w:val="20"/>
        </w:rPr>
      </w:pPr>
      <w:r>
        <w:rPr>
          <w:rFonts w:ascii="Arial" w:hAnsi="Arial" w:cs="Arial"/>
          <w:sz w:val="20"/>
        </w:rPr>
        <w:t>The grant of the licence to use the Provider Sup</w:t>
      </w:r>
      <w:r>
        <w:rPr>
          <w:rFonts w:ascii="Arial" w:hAnsi="Arial" w:cs="Arial"/>
          <w:sz w:val="20"/>
        </w:rPr>
        <w:t xml:space="preserve">plier's Interface shall continue until this Agreement is terminated in accordance with its terms and extends to </w:t>
      </w:r>
      <w:bookmarkStart w:id="43" w:name="_4455ffd2-b906-429d-8b57-2705f347d565"/>
      <w:bookmarkEnd w:id="43"/>
      <w:r>
        <w:rPr>
          <w:rFonts w:ascii="Arial" w:hAnsi="Arial" w:cs="Arial"/>
          <w:sz w:val="20"/>
        </w:rPr>
        <w:t>error corrections, patches, fixes, updates, upgrades, new releases or new versions subsequently received (if any) of the Provider Supplier's Int</w:t>
      </w:r>
      <w:r>
        <w:rPr>
          <w:rFonts w:ascii="Arial" w:hAnsi="Arial" w:cs="Arial"/>
          <w:sz w:val="20"/>
        </w:rPr>
        <w:t>erface.</w:t>
      </w:r>
      <w:bookmarkStart w:id="44" w:name="_74ed5691-b4e1-4782-8445-a4f32bb1ab92"/>
      <w:bookmarkEnd w:id="44"/>
    </w:p>
    <w:p w14:paraId="293AEBA6" w14:textId="77777777" w:rsidR="00B06F19" w:rsidRDefault="009A2766">
      <w:pPr>
        <w:pStyle w:val="Heading2"/>
        <w:rPr>
          <w:rFonts w:ascii="Arial" w:hAnsi="Arial" w:cs="Arial"/>
          <w:sz w:val="20"/>
        </w:rPr>
      </w:pPr>
      <w:r>
        <w:rPr>
          <w:rFonts w:ascii="Arial" w:hAnsi="Arial" w:cs="Arial"/>
          <w:sz w:val="20"/>
        </w:rPr>
        <w:t>The parties agree that the Catalogue Authority shall have a right to audit compliance of the Consumer Supplier with the terms of this Agreement and the Consumer Supplier shall provide all reasonable assistance, access and information to the Catalog</w:t>
      </w:r>
      <w:r>
        <w:rPr>
          <w:rFonts w:ascii="Arial" w:hAnsi="Arial" w:cs="Arial"/>
          <w:sz w:val="20"/>
        </w:rPr>
        <w:t>ue Authority in connection with such audits.</w:t>
      </w:r>
    </w:p>
    <w:p w14:paraId="546F1219" w14:textId="77777777" w:rsidR="00B06F19" w:rsidRDefault="009A2766">
      <w:pPr>
        <w:pStyle w:val="Heading1"/>
      </w:pPr>
      <w:bookmarkStart w:id="45" w:name="_Ref8217577"/>
      <w:bookmarkStart w:id="46" w:name="_Toc8389563"/>
      <w:r>
        <w:t>licence reStrictions</w:t>
      </w:r>
      <w:bookmarkEnd w:id="45"/>
      <w:bookmarkEnd w:id="46"/>
    </w:p>
    <w:p w14:paraId="44163E45" w14:textId="77777777" w:rsidR="00B06F19" w:rsidRDefault="009A2766">
      <w:pPr>
        <w:pStyle w:val="Heading2"/>
        <w:numPr>
          <w:ilvl w:val="1"/>
          <w:numId w:val="14"/>
        </w:numPr>
        <w:rPr>
          <w:rFonts w:ascii="Arial" w:hAnsi="Arial" w:cs="Arial"/>
          <w:sz w:val="20"/>
        </w:rPr>
      </w:pPr>
      <w:bookmarkStart w:id="47" w:name="_Ref158139599"/>
      <w:r>
        <w:rPr>
          <w:rFonts w:ascii="Arial" w:hAnsi="Arial" w:cs="Arial"/>
          <w:sz w:val="20"/>
        </w:rPr>
        <w:t xml:space="preserve">The Consumer Supplier shall not attempt to: </w:t>
      </w:r>
    </w:p>
    <w:p w14:paraId="245FBA34" w14:textId="77777777" w:rsidR="00B06F19" w:rsidRDefault="009A2766">
      <w:pPr>
        <w:pStyle w:val="Heading3"/>
        <w:numPr>
          <w:ilvl w:val="2"/>
          <w:numId w:val="14"/>
        </w:numPr>
        <w:rPr>
          <w:rFonts w:ascii="Arial" w:hAnsi="Arial" w:cs="Arial"/>
          <w:sz w:val="20"/>
        </w:rPr>
      </w:pPr>
      <w:r>
        <w:rPr>
          <w:rFonts w:ascii="Arial" w:hAnsi="Arial" w:cs="Arial"/>
          <w:sz w:val="20"/>
        </w:rPr>
        <w:t>copy, adapt, duplicate, modify, create derivative works from or distribute all or any portion of the Provider Supplier's Interface, except to the</w:t>
      </w:r>
      <w:r>
        <w:rPr>
          <w:rFonts w:ascii="Arial" w:hAnsi="Arial" w:cs="Arial"/>
          <w:sz w:val="20"/>
        </w:rPr>
        <w:t xml:space="preserve"> extent expressly permitted in this Agreement or otherwise expressly permitted by the Provider Supplier; or </w:t>
      </w:r>
    </w:p>
    <w:p w14:paraId="07772E44" w14:textId="77777777" w:rsidR="00B06F19" w:rsidRDefault="009A2766">
      <w:pPr>
        <w:pStyle w:val="Heading3"/>
        <w:numPr>
          <w:ilvl w:val="2"/>
          <w:numId w:val="14"/>
        </w:numPr>
        <w:rPr>
          <w:rFonts w:ascii="Arial" w:hAnsi="Arial" w:cs="Arial"/>
          <w:sz w:val="20"/>
        </w:rPr>
      </w:pPr>
      <w:r>
        <w:rPr>
          <w:rFonts w:ascii="Arial" w:hAnsi="Arial" w:cs="Arial"/>
          <w:sz w:val="20"/>
        </w:rPr>
        <w:t xml:space="preserve">reverse compile, decompile, disassemble, reverse engineer or otherwise reduce to human-perceivable form all or any part of the Provider Supplier's </w:t>
      </w:r>
      <w:r>
        <w:rPr>
          <w:rFonts w:ascii="Arial" w:hAnsi="Arial" w:cs="Arial"/>
          <w:sz w:val="20"/>
        </w:rPr>
        <w:t xml:space="preserve">Interface; or </w:t>
      </w:r>
    </w:p>
    <w:p w14:paraId="0236A439" w14:textId="77777777" w:rsidR="00B06F19" w:rsidRDefault="009A2766">
      <w:pPr>
        <w:pStyle w:val="Heading3"/>
        <w:numPr>
          <w:ilvl w:val="2"/>
          <w:numId w:val="14"/>
        </w:numPr>
        <w:rPr>
          <w:rFonts w:ascii="Arial" w:hAnsi="Arial" w:cs="Arial"/>
          <w:sz w:val="20"/>
        </w:rPr>
      </w:pPr>
      <w:r>
        <w:rPr>
          <w:rFonts w:ascii="Arial" w:hAnsi="Arial" w:cs="Arial"/>
          <w:sz w:val="20"/>
        </w:rPr>
        <w:t xml:space="preserve">make changes or error corrections to the Provider Supplier's Interface in whole or in part; or </w:t>
      </w:r>
    </w:p>
    <w:p w14:paraId="0546D70F" w14:textId="77777777" w:rsidR="00B06F19" w:rsidRDefault="009A2766">
      <w:pPr>
        <w:pStyle w:val="Heading3"/>
        <w:numPr>
          <w:ilvl w:val="2"/>
          <w:numId w:val="14"/>
        </w:numPr>
        <w:rPr>
          <w:rFonts w:ascii="Arial" w:hAnsi="Arial" w:cs="Arial"/>
          <w:sz w:val="20"/>
        </w:rPr>
      </w:pPr>
      <w:r>
        <w:rPr>
          <w:rFonts w:ascii="Arial" w:hAnsi="Arial" w:cs="Arial"/>
          <w:sz w:val="20"/>
        </w:rPr>
        <w:t>use the Provider Supplier's Interface:</w:t>
      </w:r>
    </w:p>
    <w:p w14:paraId="09B4FE59" w14:textId="77777777" w:rsidR="00B06F19" w:rsidRDefault="009A2766">
      <w:pPr>
        <w:pStyle w:val="Heading4"/>
      </w:pPr>
      <w:r>
        <w:t xml:space="preserve">in connection with a criminal offence under the applicable national laws or regulations or against public </w:t>
      </w:r>
      <w:r>
        <w:t>order or applicable ethical standards and codes;</w:t>
      </w:r>
      <w:bookmarkStart w:id="48" w:name="_24521d67-486d-4608-9b46-92d307094cf7"/>
      <w:bookmarkEnd w:id="48"/>
    </w:p>
    <w:p w14:paraId="7F8E40A9" w14:textId="77777777" w:rsidR="00B06F19" w:rsidRDefault="009A2766">
      <w:pPr>
        <w:pStyle w:val="Heading4"/>
      </w:pPr>
      <w:r>
        <w:t>in any way which causes or is intended to cause annoyance, inconvenience or needless anxiety;</w:t>
      </w:r>
      <w:bookmarkStart w:id="49" w:name="_66dc13ab-24bd-496e-8f99-2fd5855a1b46"/>
      <w:bookmarkEnd w:id="49"/>
    </w:p>
    <w:p w14:paraId="0F538804" w14:textId="77777777" w:rsidR="00B06F19" w:rsidRDefault="009A2766">
      <w:pPr>
        <w:pStyle w:val="Heading4"/>
      </w:pPr>
      <w:r>
        <w:t>in any way which has a genuine clinical safety risk;</w:t>
      </w:r>
    </w:p>
    <w:p w14:paraId="1295AE57" w14:textId="77777777" w:rsidR="00B06F19" w:rsidRDefault="009A2766">
      <w:pPr>
        <w:pStyle w:val="Heading4"/>
      </w:pPr>
      <w:r>
        <w:t>for any unlawful purpose whatsoever, including fraud or terr</w:t>
      </w:r>
      <w:r>
        <w:t>orism;</w:t>
      </w:r>
      <w:bookmarkStart w:id="50" w:name="_35109ab6-3d0a-4a59-a41d-361236bb140a"/>
      <w:bookmarkEnd w:id="50"/>
    </w:p>
    <w:p w14:paraId="134DEB84" w14:textId="77777777" w:rsidR="00B06F19" w:rsidRDefault="009A2766">
      <w:pPr>
        <w:pStyle w:val="Heading4"/>
      </w:pPr>
      <w:r>
        <w:t>in any way which is abusive, harmful, threatening or defamatory or any other way that may cause offence;</w:t>
      </w:r>
      <w:bookmarkStart w:id="51" w:name="_125d99e5-e584-45e0-87f6-cd34a60d6490"/>
      <w:bookmarkEnd w:id="51"/>
    </w:p>
    <w:p w14:paraId="2F50EB5D" w14:textId="77777777" w:rsidR="00B06F19" w:rsidRDefault="009A2766">
      <w:pPr>
        <w:pStyle w:val="Heading4"/>
      </w:pPr>
      <w:r>
        <w:lastRenderedPageBreak/>
        <w:t>in any way that could be harmful to end users’ or Provider Supplier’s systems or data (including uploading any material that contains a virus or</w:t>
      </w:r>
      <w:r>
        <w:t xml:space="preserve"> other malicious code);</w:t>
      </w:r>
      <w:bookmarkStart w:id="52" w:name="_4c413363-eeaf-4090-91a4-dce6db1ef28f"/>
      <w:bookmarkEnd w:id="52"/>
    </w:p>
    <w:p w14:paraId="4E622268" w14:textId="77777777" w:rsidR="00B06F19" w:rsidRDefault="009A2766">
      <w:pPr>
        <w:pStyle w:val="Heading4"/>
      </w:pPr>
      <w:r>
        <w:t>in any way which breaches or where it is reasonably foreseeable that the use could breach a legal duty to a third party (including a duty of confidentiality) or which infringes or where it is reasonably foreseeable that it could inf</w:t>
      </w:r>
      <w:r>
        <w:t>ringe a person's right to privacy;</w:t>
      </w:r>
      <w:bookmarkStart w:id="53" w:name="_86c6b466-1aa3-4ed4-bbf0-54843737291a"/>
      <w:bookmarkEnd w:id="53"/>
    </w:p>
    <w:p w14:paraId="25CEBE88" w14:textId="77777777" w:rsidR="00B06F19" w:rsidRDefault="009A2766">
      <w:pPr>
        <w:pStyle w:val="Heading4"/>
      </w:pPr>
      <w:r>
        <w:t>in any way which promotes discrimination or is likely to incite hatred;</w:t>
      </w:r>
      <w:bookmarkStart w:id="54" w:name="_43f4e610-327b-43e9-99f9-7ee689a268c4"/>
      <w:bookmarkEnd w:id="54"/>
      <w:r>
        <w:t xml:space="preserve"> and/or</w:t>
      </w:r>
    </w:p>
    <w:p w14:paraId="07703D94" w14:textId="77777777" w:rsidR="00B06F19" w:rsidRDefault="009A2766">
      <w:pPr>
        <w:pStyle w:val="Heading4"/>
      </w:pPr>
      <w:r>
        <w:t>in any way which may infringe the Intellectual Property Rights of third parties or which promotes any unlawful act</w:t>
      </w:r>
      <w:bookmarkStart w:id="55" w:name="_9626c12c-77ab-42ae-9e2d-a0178fdf39bd"/>
      <w:bookmarkEnd w:id="55"/>
      <w:r>
        <w:t>.</w:t>
      </w:r>
    </w:p>
    <w:p w14:paraId="77F705E4" w14:textId="77777777" w:rsidR="00B06F19" w:rsidRDefault="009A2766">
      <w:pPr>
        <w:pStyle w:val="Heading2"/>
        <w:numPr>
          <w:ilvl w:val="1"/>
          <w:numId w:val="14"/>
        </w:numPr>
        <w:rPr>
          <w:rFonts w:ascii="Arial" w:hAnsi="Arial" w:cs="Arial"/>
          <w:sz w:val="20"/>
        </w:rPr>
      </w:pPr>
      <w:bookmarkStart w:id="56" w:name="_Ref456280183"/>
      <w:r>
        <w:rPr>
          <w:rFonts w:ascii="Arial" w:hAnsi="Arial" w:cs="Arial"/>
          <w:sz w:val="20"/>
        </w:rPr>
        <w:t>Without prejudice to the P</w:t>
      </w:r>
      <w:r>
        <w:rPr>
          <w:rFonts w:ascii="Arial" w:hAnsi="Arial" w:cs="Arial"/>
          <w:sz w:val="20"/>
        </w:rPr>
        <w:t>rovider Supplier’s commitments to the Catalogue Authority under the Catalogue Agreement, the Provider Supplier's Interface is provided to the Consumer Supplier on an “</w:t>
      </w:r>
      <w:r>
        <w:rPr>
          <w:rFonts w:ascii="Arial" w:hAnsi="Arial" w:cs="Arial"/>
          <w:i/>
          <w:sz w:val="20"/>
        </w:rPr>
        <w:t>as is</w:t>
      </w:r>
      <w:r>
        <w:rPr>
          <w:rFonts w:ascii="Arial" w:hAnsi="Arial" w:cs="Arial"/>
          <w:sz w:val="20"/>
        </w:rPr>
        <w:t>” basis without (to the extent permitted by law) any warranty or representation of a</w:t>
      </w:r>
      <w:r>
        <w:rPr>
          <w:rFonts w:ascii="Arial" w:hAnsi="Arial" w:cs="Arial"/>
          <w:sz w:val="20"/>
        </w:rPr>
        <w:t>ny kind either express or implied (including the implied warranties of merchantability and fitness for a particular purpose).</w:t>
      </w:r>
      <w:bookmarkEnd w:id="56"/>
    </w:p>
    <w:p w14:paraId="5AAA05B2" w14:textId="77777777" w:rsidR="00B06F19" w:rsidRDefault="009A2766">
      <w:pPr>
        <w:pStyle w:val="Heading1"/>
      </w:pPr>
      <w:bookmarkStart w:id="57" w:name="_Toc8389564"/>
      <w:bookmarkEnd w:id="47"/>
      <w:r>
        <w:t>key principles</w:t>
      </w:r>
      <w:bookmarkEnd w:id="57"/>
    </w:p>
    <w:p w14:paraId="47A95FE5" w14:textId="77777777" w:rsidR="00B06F19" w:rsidRDefault="009A2766">
      <w:pPr>
        <w:pStyle w:val="Heading2"/>
        <w:rPr>
          <w:rFonts w:ascii="Arial" w:hAnsi="Arial" w:cs="Arial"/>
          <w:sz w:val="20"/>
        </w:rPr>
      </w:pPr>
      <w:r>
        <w:rPr>
          <w:rFonts w:ascii="Arial" w:hAnsi="Arial" w:cs="Arial"/>
          <w:sz w:val="20"/>
        </w:rPr>
        <w:t>This Agreement is executed between the parties prior to submission of the Supplier Conformance Assessment List whic</w:t>
      </w:r>
      <w:r>
        <w:rPr>
          <w:rFonts w:ascii="Arial" w:hAnsi="Arial" w:cs="Arial"/>
          <w:sz w:val="20"/>
        </w:rPr>
        <w:t>h once agreed shall be incorporated into Schedule </w:t>
      </w:r>
      <w:r>
        <w:rPr>
          <w:rFonts w:ascii="Arial" w:hAnsi="Arial" w:cs="Arial"/>
          <w:sz w:val="20"/>
        </w:rPr>
        <w:fldChar w:fldCharType="begin"/>
      </w:r>
      <w:r>
        <w:rPr>
          <w:rFonts w:ascii="Arial" w:hAnsi="Arial" w:cs="Arial"/>
          <w:sz w:val="20"/>
        </w:rPr>
        <w:instrText xml:space="preserve"> REF _Ref8216705 \n \h \#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and covers within its scope:</w:t>
      </w:r>
    </w:p>
    <w:p w14:paraId="47D0B30D" w14:textId="77777777" w:rsidR="00B06F19" w:rsidRDefault="009A2766">
      <w:pPr>
        <w:pStyle w:val="Heading3"/>
        <w:rPr>
          <w:rFonts w:ascii="Arial" w:hAnsi="Arial" w:cs="Arial"/>
          <w:sz w:val="20"/>
        </w:rPr>
      </w:pPr>
      <w:r>
        <w:rPr>
          <w:rFonts w:ascii="Arial" w:hAnsi="Arial" w:cs="Arial"/>
          <w:sz w:val="20"/>
        </w:rPr>
        <w:t xml:space="preserve">provision of support for a Consumer Supplier attempting to achieve a </w:t>
      </w:r>
      <w:r>
        <w:rPr>
          <w:rFonts w:ascii="Arial" w:hAnsi="Arial" w:cs="Arial"/>
          <w:sz w:val="20"/>
        </w:rPr>
        <w:t>Connection, including provision of connection support;</w:t>
      </w:r>
    </w:p>
    <w:p w14:paraId="2C71D1EA" w14:textId="77777777" w:rsidR="00B06F19" w:rsidRDefault="009A2766">
      <w:pPr>
        <w:pStyle w:val="Heading3"/>
        <w:rPr>
          <w:rFonts w:ascii="Arial" w:hAnsi="Arial" w:cs="Arial"/>
          <w:sz w:val="20"/>
        </w:rPr>
      </w:pPr>
      <w:r>
        <w:rPr>
          <w:rFonts w:ascii="Arial" w:hAnsi="Arial" w:cs="Arial"/>
          <w:sz w:val="20"/>
        </w:rPr>
        <w:t>requirements of the Consumer Supplier in order to achieve a Connection; and</w:t>
      </w:r>
    </w:p>
    <w:p w14:paraId="258ECFD5" w14:textId="77777777" w:rsidR="00B06F19" w:rsidRDefault="009A2766">
      <w:pPr>
        <w:pStyle w:val="Heading3"/>
        <w:rPr>
          <w:rFonts w:ascii="Arial" w:hAnsi="Arial" w:cs="Arial"/>
          <w:sz w:val="20"/>
        </w:rPr>
      </w:pPr>
      <w:r>
        <w:rPr>
          <w:rFonts w:ascii="Arial" w:hAnsi="Arial" w:cs="Arial"/>
          <w:sz w:val="20"/>
        </w:rPr>
        <w:t xml:space="preserve">ongoing obligations and agreements between the parties. </w:t>
      </w:r>
    </w:p>
    <w:p w14:paraId="72C7DF57" w14:textId="77777777" w:rsidR="00B06F19" w:rsidRDefault="009A2766">
      <w:pPr>
        <w:pStyle w:val="Heading2"/>
        <w:rPr>
          <w:rFonts w:ascii="Arial" w:hAnsi="Arial" w:cs="Arial"/>
          <w:sz w:val="20"/>
        </w:rPr>
      </w:pPr>
      <w:r>
        <w:rPr>
          <w:rFonts w:ascii="Arial" w:hAnsi="Arial" w:cs="Arial"/>
          <w:sz w:val="20"/>
        </w:rPr>
        <w:t xml:space="preserve">The Provider Supplier shall make available to any Consumer Supplier </w:t>
      </w:r>
      <w:r>
        <w:rPr>
          <w:rFonts w:ascii="Arial" w:hAnsi="Arial" w:cs="Arial"/>
          <w:sz w:val="20"/>
        </w:rPr>
        <w:t>all technical support and materials directly related to the Providing Supplier's software reasonably necessary to:</w:t>
      </w:r>
    </w:p>
    <w:p w14:paraId="78CFF8F3" w14:textId="77777777" w:rsidR="00B06F19" w:rsidRDefault="009A2766">
      <w:pPr>
        <w:pStyle w:val="Heading3"/>
        <w:rPr>
          <w:rFonts w:ascii="Arial" w:hAnsi="Arial" w:cs="Arial"/>
          <w:sz w:val="20"/>
        </w:rPr>
      </w:pPr>
      <w:r>
        <w:rPr>
          <w:rFonts w:ascii="Arial" w:hAnsi="Arial" w:cs="Arial"/>
          <w:sz w:val="20"/>
        </w:rPr>
        <w:t xml:space="preserve">develop the Consumer Supplier Connection and implement it within the Consumer Supplier's service; </w:t>
      </w:r>
    </w:p>
    <w:p w14:paraId="5D8E754A" w14:textId="77777777" w:rsidR="00B06F19" w:rsidRDefault="009A2766">
      <w:pPr>
        <w:pStyle w:val="Heading3"/>
        <w:rPr>
          <w:rFonts w:ascii="Arial" w:hAnsi="Arial" w:cs="Arial"/>
          <w:sz w:val="20"/>
        </w:rPr>
      </w:pPr>
      <w:r>
        <w:rPr>
          <w:rFonts w:ascii="Arial" w:hAnsi="Arial" w:cs="Arial"/>
          <w:sz w:val="20"/>
        </w:rPr>
        <w:t>test the Consumer Supplier's Connection fo</w:t>
      </w:r>
      <w:r>
        <w:rPr>
          <w:rFonts w:ascii="Arial" w:hAnsi="Arial" w:cs="Arial"/>
          <w:sz w:val="20"/>
        </w:rPr>
        <w:t>r compliance with the Interface specification; and</w:t>
      </w:r>
    </w:p>
    <w:p w14:paraId="3D369131" w14:textId="77777777" w:rsidR="00B06F19" w:rsidRDefault="009A2766">
      <w:pPr>
        <w:pStyle w:val="Heading3"/>
        <w:rPr>
          <w:rFonts w:ascii="Arial" w:hAnsi="Arial" w:cs="Arial"/>
          <w:sz w:val="20"/>
        </w:rPr>
      </w:pPr>
      <w:r>
        <w:rPr>
          <w:rFonts w:ascii="Arial" w:hAnsi="Arial" w:cs="Arial"/>
          <w:sz w:val="20"/>
        </w:rPr>
        <w:t xml:space="preserve">submit information in support of the requirements of the Supplier Conformance Assessment List. </w:t>
      </w:r>
    </w:p>
    <w:p w14:paraId="716CE18F" w14:textId="77777777" w:rsidR="00B06F19" w:rsidRDefault="009A2766">
      <w:pPr>
        <w:pStyle w:val="Heading2"/>
        <w:rPr>
          <w:rFonts w:ascii="Arial" w:hAnsi="Arial" w:cs="Arial"/>
          <w:b/>
          <w:sz w:val="20"/>
        </w:rPr>
      </w:pPr>
      <w:bookmarkStart w:id="58" w:name="_Ref1396937"/>
      <w:r>
        <w:rPr>
          <w:rFonts w:ascii="Arial" w:hAnsi="Arial" w:cs="Arial"/>
          <w:sz w:val="20"/>
        </w:rPr>
        <w:t xml:space="preserve">The Provider Supplier shall, in conjunction with the Catalogue Authority, in accordance with the SCAL, perform reasonable diligence and assurance activities in respect of any Consumer Supplier </w:t>
      </w:r>
      <w:bookmarkEnd w:id="58"/>
      <w:r>
        <w:rPr>
          <w:rFonts w:ascii="Arial" w:hAnsi="Arial" w:cs="Arial"/>
          <w:sz w:val="20"/>
        </w:rPr>
        <w:t>including:</w:t>
      </w:r>
    </w:p>
    <w:p w14:paraId="79162634" w14:textId="77777777" w:rsidR="00B06F19" w:rsidRDefault="009A2766">
      <w:pPr>
        <w:pStyle w:val="Heading3"/>
        <w:rPr>
          <w:rFonts w:ascii="Arial" w:hAnsi="Arial" w:cs="Arial"/>
          <w:b/>
          <w:sz w:val="20"/>
        </w:rPr>
      </w:pPr>
      <w:r>
        <w:rPr>
          <w:rFonts w:ascii="Arial" w:hAnsi="Arial" w:cs="Arial"/>
          <w:sz w:val="20"/>
        </w:rPr>
        <w:t>fitness to access the Interface in respect of organi</w:t>
      </w:r>
      <w:r>
        <w:rPr>
          <w:rFonts w:ascii="Arial" w:hAnsi="Arial" w:cs="Arial"/>
          <w:sz w:val="20"/>
        </w:rPr>
        <w:t>sational status, business model as pertaining to data accessed via the Interface/s and organisational controls;</w:t>
      </w:r>
    </w:p>
    <w:p w14:paraId="61C49173" w14:textId="77777777" w:rsidR="00B06F19" w:rsidRDefault="009A2766">
      <w:pPr>
        <w:pStyle w:val="Heading3"/>
        <w:rPr>
          <w:rFonts w:ascii="Arial" w:hAnsi="Arial" w:cs="Arial"/>
          <w:b/>
          <w:sz w:val="20"/>
        </w:rPr>
      </w:pPr>
      <w:r>
        <w:rPr>
          <w:rFonts w:ascii="Arial" w:hAnsi="Arial" w:cs="Arial"/>
          <w:sz w:val="20"/>
        </w:rPr>
        <w:t>compliance with requirements noted within the SCAL in respect of information governance and security management;</w:t>
      </w:r>
    </w:p>
    <w:p w14:paraId="4D0CCCA8" w14:textId="77777777" w:rsidR="00B06F19" w:rsidRDefault="009A2766">
      <w:pPr>
        <w:pStyle w:val="Heading3"/>
        <w:rPr>
          <w:rFonts w:ascii="Arial" w:hAnsi="Arial" w:cs="Arial"/>
          <w:b/>
          <w:sz w:val="20"/>
        </w:rPr>
      </w:pPr>
      <w:r>
        <w:rPr>
          <w:rFonts w:ascii="Arial" w:hAnsi="Arial" w:cs="Arial"/>
          <w:sz w:val="20"/>
        </w:rPr>
        <w:lastRenderedPageBreak/>
        <w:t>compliance with requirements no</w:t>
      </w:r>
      <w:r>
        <w:rPr>
          <w:rFonts w:ascii="Arial" w:hAnsi="Arial" w:cs="Arial"/>
          <w:sz w:val="20"/>
        </w:rPr>
        <w:t>ted within the SCAL in respect of clinical safety risk management in use of data and behaviour of the Interface; and</w:t>
      </w:r>
    </w:p>
    <w:p w14:paraId="7F1427BD" w14:textId="77777777" w:rsidR="00B06F19" w:rsidRDefault="009A2766">
      <w:pPr>
        <w:pStyle w:val="Heading3"/>
        <w:rPr>
          <w:rFonts w:ascii="Arial" w:hAnsi="Arial" w:cs="Arial"/>
          <w:b/>
          <w:sz w:val="20"/>
        </w:rPr>
      </w:pPr>
      <w:r>
        <w:rPr>
          <w:rFonts w:ascii="Arial" w:hAnsi="Arial" w:cs="Arial"/>
          <w:sz w:val="20"/>
        </w:rPr>
        <w:t>compliance with the technical Interface as demonstrated through the Connection Witness Test.</w:t>
      </w:r>
    </w:p>
    <w:p w14:paraId="43456E47" w14:textId="77777777" w:rsidR="00B06F19" w:rsidRDefault="009A2766">
      <w:pPr>
        <w:pStyle w:val="Heading2"/>
        <w:rPr>
          <w:rFonts w:ascii="Arial" w:hAnsi="Arial" w:cs="Arial"/>
          <w:sz w:val="20"/>
        </w:rPr>
      </w:pPr>
      <w:r>
        <w:rPr>
          <w:rFonts w:ascii="Arial" w:hAnsi="Arial" w:cs="Arial"/>
          <w:sz w:val="20"/>
        </w:rPr>
        <w:t>The Provider Supplier shall assign a named con</w:t>
      </w:r>
      <w:r>
        <w:rPr>
          <w:rFonts w:ascii="Arial" w:hAnsi="Arial" w:cs="Arial"/>
          <w:sz w:val="20"/>
        </w:rPr>
        <w:t>tact to the Consumer Supplier, and shall make reasonable support available to the Consumer Supplier in respect of clarifying aspects of the requirements, technical facilitation and facilitation of witness tests, all in support of the activities outlined un</w:t>
      </w:r>
      <w:r>
        <w:rPr>
          <w:rFonts w:ascii="Arial" w:hAnsi="Arial" w:cs="Arial"/>
          <w:sz w:val="20"/>
        </w:rPr>
        <w:t>der paragraph </w:t>
      </w:r>
      <w:r>
        <w:rPr>
          <w:rFonts w:ascii="Arial" w:hAnsi="Arial" w:cs="Arial"/>
          <w:sz w:val="20"/>
        </w:rPr>
        <w:fldChar w:fldCharType="begin"/>
      </w:r>
      <w:r>
        <w:rPr>
          <w:rFonts w:ascii="Arial" w:hAnsi="Arial" w:cs="Arial"/>
          <w:sz w:val="20"/>
        </w:rPr>
        <w:instrText xml:space="preserve"> REF _Ref1396937 \r \h  \* MERGEFORMAT </w:instrText>
      </w:r>
      <w:r>
        <w:rPr>
          <w:rFonts w:ascii="Arial" w:hAnsi="Arial" w:cs="Arial"/>
          <w:sz w:val="20"/>
        </w:rPr>
      </w:r>
      <w:r>
        <w:rPr>
          <w:rFonts w:ascii="Arial" w:hAnsi="Arial" w:cs="Arial"/>
          <w:sz w:val="20"/>
        </w:rPr>
        <w:fldChar w:fldCharType="separate"/>
      </w:r>
      <w:r>
        <w:rPr>
          <w:rFonts w:ascii="Arial" w:hAnsi="Arial" w:cs="Arial"/>
          <w:sz w:val="20"/>
        </w:rPr>
        <w:t>5.3</w:t>
      </w:r>
      <w:r>
        <w:rPr>
          <w:rFonts w:ascii="Arial" w:hAnsi="Arial" w:cs="Arial"/>
          <w:sz w:val="20"/>
        </w:rPr>
        <w:fldChar w:fldCharType="end"/>
      </w:r>
      <w:r>
        <w:rPr>
          <w:rFonts w:ascii="Arial" w:hAnsi="Arial" w:cs="Arial"/>
          <w:sz w:val="20"/>
        </w:rPr>
        <w:t>.</w:t>
      </w:r>
    </w:p>
    <w:p w14:paraId="59A473EE" w14:textId="77777777" w:rsidR="00B06F19" w:rsidRDefault="009A2766">
      <w:pPr>
        <w:pStyle w:val="Heading2"/>
        <w:rPr>
          <w:rFonts w:ascii="Arial" w:hAnsi="Arial" w:cs="Arial"/>
          <w:sz w:val="20"/>
        </w:rPr>
      </w:pPr>
      <w:r>
        <w:rPr>
          <w:rFonts w:ascii="Arial" w:hAnsi="Arial" w:cs="Arial"/>
          <w:sz w:val="20"/>
        </w:rPr>
        <w:t>The Consumer Supplier is only permitted to access data to the extent it is able to demonstrate the requisite permissions in complian</w:t>
      </w:r>
      <w:r>
        <w:rPr>
          <w:rFonts w:ascii="Arial" w:hAnsi="Arial" w:cs="Arial"/>
          <w:sz w:val="20"/>
        </w:rPr>
        <w:t>ce with the Data Protection Laws as set out in clause </w:t>
      </w:r>
      <w:r>
        <w:rPr>
          <w:rFonts w:ascii="Arial" w:hAnsi="Arial" w:cs="Arial"/>
          <w:sz w:val="20"/>
        </w:rPr>
        <w:fldChar w:fldCharType="begin"/>
      </w:r>
      <w:r>
        <w:rPr>
          <w:rFonts w:ascii="Arial" w:hAnsi="Arial" w:cs="Arial"/>
          <w:sz w:val="20"/>
        </w:rPr>
        <w:instrText xml:space="preserve"> REF _Ref2869083 \r \h  \* MERGEFORMAT </w:instrText>
      </w:r>
      <w:r>
        <w:rPr>
          <w:rFonts w:ascii="Arial" w:hAnsi="Arial" w:cs="Arial"/>
          <w:sz w:val="20"/>
        </w:rPr>
      </w:r>
      <w:r>
        <w:rPr>
          <w:rFonts w:ascii="Arial" w:hAnsi="Arial" w:cs="Arial"/>
          <w:sz w:val="20"/>
        </w:rPr>
        <w:fldChar w:fldCharType="separate"/>
      </w:r>
      <w:r>
        <w:rPr>
          <w:rFonts w:ascii="Arial" w:hAnsi="Arial" w:cs="Arial"/>
          <w:sz w:val="20"/>
        </w:rPr>
        <w:t>9</w:t>
      </w:r>
      <w:r>
        <w:rPr>
          <w:rFonts w:ascii="Arial" w:hAnsi="Arial" w:cs="Arial"/>
          <w:sz w:val="20"/>
        </w:rPr>
        <w:fldChar w:fldCharType="end"/>
      </w:r>
      <w:r>
        <w:rPr>
          <w:rFonts w:ascii="Arial" w:hAnsi="Arial" w:cs="Arial"/>
          <w:sz w:val="20"/>
        </w:rPr>
        <w:t xml:space="preserve"> and must operate the API within the boundaries of the Fair Usage Policy as set out 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15005F02" w14:textId="77777777" w:rsidR="00B06F19" w:rsidRDefault="009A2766">
      <w:pPr>
        <w:pStyle w:val="Heading1"/>
      </w:pPr>
      <w:bookmarkStart w:id="59" w:name="_Ref1637095"/>
      <w:bookmarkStart w:id="60" w:name="_Ref1637475"/>
      <w:bookmarkStart w:id="61" w:name="_Toc8389565"/>
      <w:bookmarkStart w:id="62" w:name="_Ref534378587"/>
      <w:r>
        <w:t>The Connection Process</w:t>
      </w:r>
      <w:bookmarkEnd w:id="59"/>
      <w:bookmarkEnd w:id="60"/>
      <w:bookmarkEnd w:id="61"/>
    </w:p>
    <w:p w14:paraId="4A4998A2" w14:textId="77777777" w:rsidR="00B06F19" w:rsidRDefault="009A2766">
      <w:pPr>
        <w:pStyle w:val="Heading2"/>
        <w:rPr>
          <w:rFonts w:ascii="Arial" w:hAnsi="Arial" w:cs="Arial"/>
          <w:sz w:val="20"/>
        </w:rPr>
      </w:pPr>
      <w:r>
        <w:rPr>
          <w:rFonts w:ascii="Arial" w:hAnsi="Arial" w:cs="Arial"/>
          <w:sz w:val="20"/>
        </w:rPr>
        <w:t>The Consumer Supplier shall comply with the provisions of this Agreement.</w:t>
      </w:r>
    </w:p>
    <w:p w14:paraId="04714E94" w14:textId="77777777" w:rsidR="00B06F19" w:rsidRDefault="009A2766">
      <w:pPr>
        <w:pStyle w:val="Heading2"/>
        <w:rPr>
          <w:rFonts w:ascii="Arial" w:hAnsi="Arial" w:cs="Arial"/>
          <w:sz w:val="20"/>
        </w:rPr>
      </w:pPr>
      <w:r>
        <w:rPr>
          <w:rFonts w:ascii="Arial" w:hAnsi="Arial" w:cs="Arial"/>
          <w:sz w:val="20"/>
        </w:rPr>
        <w:t xml:space="preserve">The Consumer Supplier shall register its desire to establish </w:t>
      </w:r>
      <w:r>
        <w:rPr>
          <w:rFonts w:ascii="Arial" w:hAnsi="Arial" w:cs="Arial"/>
          <w:sz w:val="20"/>
        </w:rPr>
        <w:t xml:space="preserve">a Connection at [xx.xx@xx.com] in accordance with the instructions given in order to commence the Connection Application. </w:t>
      </w:r>
    </w:p>
    <w:p w14:paraId="09E0416F" w14:textId="77777777" w:rsidR="00B06F19" w:rsidRDefault="009A2766">
      <w:pPr>
        <w:pStyle w:val="Heading2"/>
        <w:rPr>
          <w:rFonts w:ascii="Arial" w:hAnsi="Arial" w:cs="Arial"/>
          <w:sz w:val="20"/>
        </w:rPr>
      </w:pPr>
      <w:r>
        <w:rPr>
          <w:rFonts w:ascii="Arial" w:hAnsi="Arial" w:cs="Arial"/>
          <w:sz w:val="20"/>
        </w:rPr>
        <w:t xml:space="preserve">The Provider Supplier and the Catalogue Authority shall support the Consumer Supplier on a reasonable endeavours basis in making the </w:t>
      </w:r>
      <w:r>
        <w:rPr>
          <w:rFonts w:ascii="Arial" w:hAnsi="Arial" w:cs="Arial"/>
          <w:sz w:val="20"/>
        </w:rPr>
        <w:t>Connection Application.</w:t>
      </w:r>
    </w:p>
    <w:p w14:paraId="7B3B059B" w14:textId="77777777" w:rsidR="00B06F19" w:rsidRDefault="009A2766">
      <w:pPr>
        <w:pStyle w:val="Heading2"/>
        <w:rPr>
          <w:rFonts w:ascii="Arial" w:hAnsi="Arial" w:cs="Arial"/>
          <w:sz w:val="20"/>
        </w:rPr>
      </w:pPr>
      <w:r>
        <w:rPr>
          <w:rFonts w:ascii="Arial" w:hAnsi="Arial" w:cs="Arial"/>
          <w:sz w:val="20"/>
        </w:rPr>
        <w:t xml:space="preserve">The Provider Supplier shall for each Connection Application deploy appropriate resources to enable the Connection to be achieved and use all reasonable endeavours to ensure that there is a successful achievement of the connection.  </w:t>
      </w:r>
    </w:p>
    <w:p w14:paraId="2252F3B0" w14:textId="77777777" w:rsidR="00B06F19" w:rsidRDefault="009A2766">
      <w:pPr>
        <w:pStyle w:val="Heading2"/>
        <w:rPr>
          <w:rFonts w:ascii="Arial" w:hAnsi="Arial" w:cs="Arial"/>
          <w:sz w:val="20"/>
        </w:rPr>
      </w:pPr>
      <w:r>
        <w:rPr>
          <w:rFonts w:ascii="Arial" w:hAnsi="Arial" w:cs="Arial"/>
          <w:sz w:val="20"/>
        </w:rPr>
        <w:t>The Consumer Supplier shall apply for a Connection and commence connection diligence and testing in accordance with the following process:</w:t>
      </w:r>
    </w:p>
    <w:p w14:paraId="635B5B76" w14:textId="77777777" w:rsidR="00B06F19" w:rsidRDefault="009A2766">
      <w:pPr>
        <w:pStyle w:val="Heading3"/>
        <w:rPr>
          <w:rFonts w:ascii="Arial" w:hAnsi="Arial" w:cs="Arial"/>
          <w:sz w:val="20"/>
        </w:rPr>
      </w:pPr>
      <w:r>
        <w:rPr>
          <w:rFonts w:ascii="Arial" w:hAnsi="Arial" w:cs="Arial"/>
          <w:sz w:val="20"/>
        </w:rPr>
        <w:t>the Consumer Supplier shall submit a response to the SCAL, which shall be subject to assessment by the Catalogue Aut</w:t>
      </w:r>
      <w:r>
        <w:rPr>
          <w:rFonts w:ascii="Arial" w:hAnsi="Arial" w:cs="Arial"/>
          <w:sz w:val="20"/>
        </w:rPr>
        <w:t>hority on behalf of the Provider Supplier and relevant Controllers;</w:t>
      </w:r>
    </w:p>
    <w:p w14:paraId="42D0A45F" w14:textId="77777777" w:rsidR="00B06F19" w:rsidRDefault="009A2766">
      <w:pPr>
        <w:pStyle w:val="Heading3"/>
        <w:rPr>
          <w:rFonts w:ascii="Arial" w:hAnsi="Arial" w:cs="Arial"/>
          <w:sz w:val="20"/>
        </w:rPr>
      </w:pPr>
      <w:r>
        <w:rPr>
          <w:rFonts w:ascii="Arial" w:hAnsi="Arial" w:cs="Arial"/>
          <w:sz w:val="20"/>
        </w:rPr>
        <w:t>after a request from the Catalogue Authority, the Consumer Supplier shall schedule access to a supported test environment from the Provider Supplier, such access being granted for a period</w:t>
      </w:r>
      <w:r>
        <w:rPr>
          <w:rFonts w:ascii="Arial" w:hAnsi="Arial" w:cs="Arial"/>
          <w:sz w:val="20"/>
        </w:rPr>
        <w:t xml:space="preserve"> of 2 calendar weeks;</w:t>
      </w:r>
    </w:p>
    <w:p w14:paraId="593E9692" w14:textId="77777777" w:rsidR="00B06F19" w:rsidRDefault="009A2766">
      <w:pPr>
        <w:pStyle w:val="Heading3"/>
        <w:rPr>
          <w:rFonts w:ascii="Arial" w:hAnsi="Arial" w:cs="Arial"/>
          <w:sz w:val="20"/>
        </w:rPr>
      </w:pPr>
      <w:r>
        <w:rPr>
          <w:rFonts w:ascii="Arial" w:hAnsi="Arial" w:cs="Arial"/>
          <w:sz w:val="20"/>
        </w:rPr>
        <w:t>during the period of access to the supported test environment, the Consumer Supplier shall perform a Connection Witness Test in the presence of the Catalogue Authority, with Provider Supplier in attendance at its discretion;</w:t>
      </w:r>
    </w:p>
    <w:p w14:paraId="51233282" w14:textId="77777777" w:rsidR="00B06F19" w:rsidRDefault="009A2766">
      <w:pPr>
        <w:pStyle w:val="Heading3"/>
        <w:rPr>
          <w:rFonts w:ascii="Arial" w:hAnsi="Arial" w:cs="Arial"/>
          <w:sz w:val="20"/>
        </w:rPr>
      </w:pPr>
      <w:r>
        <w:rPr>
          <w:rFonts w:ascii="Arial" w:hAnsi="Arial" w:cs="Arial"/>
          <w:sz w:val="20"/>
        </w:rPr>
        <w:t>the Catal</w:t>
      </w:r>
      <w:r>
        <w:rPr>
          <w:rFonts w:ascii="Arial" w:hAnsi="Arial" w:cs="Arial"/>
          <w:sz w:val="20"/>
        </w:rPr>
        <w:t>ogue Authority shall, subject to successful completion of Connection Witness Test and satisfactory assessment of the updated SCAL, grant a Recommendation To Connect to the Provider Supplier; and</w:t>
      </w:r>
    </w:p>
    <w:p w14:paraId="4E558C67" w14:textId="77777777" w:rsidR="00B06F19" w:rsidRDefault="009A2766">
      <w:pPr>
        <w:pStyle w:val="Heading3"/>
        <w:rPr>
          <w:rFonts w:ascii="Arial" w:hAnsi="Arial" w:cs="Arial"/>
          <w:sz w:val="20"/>
        </w:rPr>
      </w:pPr>
      <w:r>
        <w:rPr>
          <w:rFonts w:ascii="Arial" w:hAnsi="Arial" w:cs="Arial"/>
          <w:sz w:val="20"/>
        </w:rPr>
        <w:t>the Catalogue Authority may also, based on its reasonable jud</w:t>
      </w:r>
      <w:r>
        <w:rPr>
          <w:rFonts w:ascii="Arial" w:hAnsi="Arial" w:cs="Arial"/>
          <w:sz w:val="20"/>
        </w:rPr>
        <w:t>gement:</w:t>
      </w:r>
    </w:p>
    <w:p w14:paraId="42F829D4" w14:textId="77777777" w:rsidR="00B06F19" w:rsidRDefault="009A2766">
      <w:pPr>
        <w:pStyle w:val="Heading4"/>
      </w:pPr>
      <w:r>
        <w:t xml:space="preserve">reject the Consumer Supplier's Connection Application; </w:t>
      </w:r>
    </w:p>
    <w:p w14:paraId="45697EC2" w14:textId="77777777" w:rsidR="00B06F19" w:rsidRDefault="009A2766">
      <w:pPr>
        <w:pStyle w:val="Heading4"/>
      </w:pPr>
      <w:r>
        <w:t>request a subsequent Connection Witness Test;</w:t>
      </w:r>
    </w:p>
    <w:p w14:paraId="7B30C305" w14:textId="77777777" w:rsidR="00B06F19" w:rsidRDefault="009A2766">
      <w:pPr>
        <w:pStyle w:val="Heading4"/>
      </w:pPr>
      <w:r>
        <w:t>request further clarification in respect of the SCAL; and/or</w:t>
      </w:r>
    </w:p>
    <w:p w14:paraId="18B6A243" w14:textId="77777777" w:rsidR="00B06F19" w:rsidRDefault="009A2766">
      <w:pPr>
        <w:pStyle w:val="Heading4"/>
      </w:pPr>
      <w:r>
        <w:lastRenderedPageBreak/>
        <w:t xml:space="preserve">grant the Recommendation To Connect with a refusal to accept charges on behalf of a </w:t>
      </w:r>
      <w:r>
        <w:t>Framework Authority.</w:t>
      </w:r>
    </w:p>
    <w:p w14:paraId="317B992A" w14:textId="77777777" w:rsidR="00B06F19" w:rsidRDefault="009A2766">
      <w:pPr>
        <w:pStyle w:val="Heading2"/>
        <w:rPr>
          <w:rFonts w:ascii="Arial" w:hAnsi="Arial" w:cs="Arial"/>
          <w:sz w:val="20"/>
        </w:rPr>
      </w:pPr>
      <w:r>
        <w:rPr>
          <w:rFonts w:ascii="Arial" w:hAnsi="Arial" w:cs="Arial"/>
          <w:sz w:val="20"/>
        </w:rPr>
        <w:t xml:space="preserve">The Provider Supplier shall complete the Connection in accordance with the following process: </w:t>
      </w:r>
    </w:p>
    <w:p w14:paraId="6DAFBC44" w14:textId="77777777" w:rsidR="00B06F19" w:rsidRDefault="009A2766">
      <w:pPr>
        <w:pStyle w:val="Heading3"/>
        <w:rPr>
          <w:rFonts w:ascii="Arial" w:hAnsi="Arial" w:cs="Arial"/>
          <w:sz w:val="20"/>
        </w:rPr>
      </w:pPr>
      <w:bookmarkStart w:id="63" w:name="_Ref8221996"/>
      <w:r>
        <w:rPr>
          <w:rFonts w:ascii="Arial" w:hAnsi="Arial" w:cs="Arial"/>
          <w:sz w:val="20"/>
        </w:rPr>
        <w:t>the Provider Supplier shall have 5 calendar days to dispute any Recommendation To Connect (in which case the dispute shall be managed in acc</w:t>
      </w:r>
      <w:r>
        <w:rPr>
          <w:rFonts w:ascii="Arial" w:hAnsi="Arial" w:cs="Arial"/>
          <w:sz w:val="20"/>
        </w:rPr>
        <w:t>ordance with the provisions of the Catalogue Agreement as executed between the Provider Supplier and the Catalogue Authority, utilising the Expert Determination procedure described in the Catalogue Agreement) otherwise deemed acceptance shall apply;</w:t>
      </w:r>
      <w:bookmarkEnd w:id="63"/>
      <w:r>
        <w:rPr>
          <w:rFonts w:ascii="Arial" w:hAnsi="Arial" w:cs="Arial"/>
          <w:sz w:val="20"/>
        </w:rPr>
        <w:t xml:space="preserve">  </w:t>
      </w:r>
    </w:p>
    <w:p w14:paraId="09D67F02" w14:textId="77777777" w:rsidR="00B06F19" w:rsidRDefault="009A2766">
      <w:pPr>
        <w:pStyle w:val="Heading3"/>
        <w:rPr>
          <w:rFonts w:ascii="Arial" w:hAnsi="Arial" w:cs="Arial"/>
          <w:sz w:val="20"/>
        </w:rPr>
      </w:pPr>
      <w:r>
        <w:rPr>
          <w:rFonts w:ascii="Arial" w:hAnsi="Arial" w:cs="Arial"/>
          <w:sz w:val="20"/>
        </w:rPr>
        <w:t>subj</w:t>
      </w:r>
      <w:r>
        <w:rPr>
          <w:rFonts w:ascii="Arial" w:hAnsi="Arial" w:cs="Arial"/>
          <w:sz w:val="20"/>
        </w:rPr>
        <w:t>ect to the acceptance in clause </w:t>
      </w:r>
      <w:r>
        <w:rPr>
          <w:rFonts w:ascii="Arial" w:hAnsi="Arial" w:cs="Arial"/>
          <w:sz w:val="20"/>
        </w:rPr>
        <w:fldChar w:fldCharType="begin"/>
      </w:r>
      <w:r>
        <w:rPr>
          <w:rFonts w:ascii="Arial" w:hAnsi="Arial" w:cs="Arial"/>
          <w:sz w:val="20"/>
        </w:rPr>
        <w:instrText xml:space="preserve"> REF _Ref8221996 \r \h </w:instrText>
      </w:r>
      <w:r>
        <w:rPr>
          <w:rFonts w:ascii="Arial" w:hAnsi="Arial" w:cs="Arial"/>
          <w:sz w:val="20"/>
        </w:rPr>
      </w:r>
      <w:r>
        <w:rPr>
          <w:rFonts w:ascii="Arial" w:hAnsi="Arial" w:cs="Arial"/>
          <w:sz w:val="20"/>
        </w:rPr>
        <w:fldChar w:fldCharType="separate"/>
      </w:r>
      <w:r>
        <w:rPr>
          <w:rFonts w:ascii="Arial" w:hAnsi="Arial" w:cs="Arial"/>
          <w:sz w:val="20"/>
        </w:rPr>
        <w:t>6.6.1</w:t>
      </w:r>
      <w:r>
        <w:rPr>
          <w:rFonts w:ascii="Arial" w:hAnsi="Arial" w:cs="Arial"/>
          <w:sz w:val="20"/>
        </w:rPr>
        <w:fldChar w:fldCharType="end"/>
      </w:r>
      <w:r>
        <w:rPr>
          <w:rFonts w:ascii="Arial" w:hAnsi="Arial" w:cs="Arial"/>
          <w:sz w:val="20"/>
        </w:rPr>
        <w:t xml:space="preserve"> above, the Provider Supplier shall deliver access to the Interface for the Connection to the Consumer Supplier within 10 Business Days of receipt of a Recommendation to Connect; </w:t>
      </w:r>
    </w:p>
    <w:p w14:paraId="04D31E69" w14:textId="77777777" w:rsidR="00B06F19" w:rsidRDefault="009A2766">
      <w:pPr>
        <w:pStyle w:val="Heading3"/>
        <w:rPr>
          <w:rFonts w:ascii="Arial" w:hAnsi="Arial" w:cs="Arial"/>
          <w:sz w:val="20"/>
        </w:rPr>
      </w:pPr>
      <w:r>
        <w:rPr>
          <w:rFonts w:ascii="Arial" w:hAnsi="Arial" w:cs="Arial"/>
          <w:sz w:val="20"/>
        </w:rPr>
        <w:t>where a Connection is subject to a staged rollout across the Provider Suppli</w:t>
      </w:r>
      <w:r>
        <w:rPr>
          <w:rFonts w:ascii="Arial" w:hAnsi="Arial" w:cs="Arial"/>
          <w:sz w:val="20"/>
        </w:rPr>
        <w:t>er's infrastructure estate, then the Provider Supplier shall ensure that the Consumer Supplier has been enabled so as to achieve 80% estate coverage with 40 Business Days of Recommendation to Connect, unless otherwise agreed between the parties;</w:t>
      </w:r>
    </w:p>
    <w:p w14:paraId="32425BD7" w14:textId="77777777" w:rsidR="00B06F19" w:rsidRDefault="009A2766">
      <w:pPr>
        <w:pStyle w:val="Heading3"/>
        <w:rPr>
          <w:rFonts w:ascii="Arial" w:hAnsi="Arial" w:cs="Arial"/>
          <w:sz w:val="20"/>
        </w:rPr>
      </w:pPr>
      <w:r>
        <w:rPr>
          <w:rFonts w:ascii="Arial" w:hAnsi="Arial" w:cs="Arial"/>
          <w:sz w:val="20"/>
        </w:rPr>
        <w:t>the Provid</w:t>
      </w:r>
      <w:r>
        <w:rPr>
          <w:rFonts w:ascii="Arial" w:hAnsi="Arial" w:cs="Arial"/>
          <w:sz w:val="20"/>
        </w:rPr>
        <w:t>er Supplier shall issue a certificate to confirm the Connection which shall be validated by the Consumer Supplier and presented, along with the completed Agreement to the Catalogue Authority; and</w:t>
      </w:r>
    </w:p>
    <w:p w14:paraId="36CA1BB3" w14:textId="77777777" w:rsidR="00B06F19" w:rsidRDefault="009A2766">
      <w:pPr>
        <w:pStyle w:val="Heading3"/>
        <w:rPr>
          <w:rFonts w:ascii="Arial" w:hAnsi="Arial" w:cs="Arial"/>
          <w:sz w:val="20"/>
        </w:rPr>
      </w:pPr>
      <w:r>
        <w:rPr>
          <w:rFonts w:ascii="Arial" w:hAnsi="Arial" w:cs="Arial"/>
          <w:sz w:val="20"/>
        </w:rPr>
        <w:t>the dispute resolution processes available to the Consumer S</w:t>
      </w:r>
      <w:r>
        <w:rPr>
          <w:rFonts w:ascii="Arial" w:hAnsi="Arial" w:cs="Arial"/>
          <w:sz w:val="20"/>
        </w:rPr>
        <w:t>upplier under this Agreement in respect of the Connection Application process are as outlined within clause </w:t>
      </w:r>
      <w:r>
        <w:rPr>
          <w:rFonts w:ascii="Arial" w:hAnsi="Arial" w:cs="Arial"/>
          <w:sz w:val="20"/>
        </w:rPr>
        <w:fldChar w:fldCharType="begin"/>
      </w:r>
      <w:r>
        <w:rPr>
          <w:rFonts w:ascii="Arial" w:hAnsi="Arial" w:cs="Arial"/>
          <w:sz w:val="20"/>
        </w:rPr>
        <w:instrText xml:space="preserve"> REF _Ref529279156 \r \h  \* MERGEFORMAT </w:instrText>
      </w:r>
      <w:r>
        <w:rPr>
          <w:rFonts w:ascii="Arial" w:hAnsi="Arial" w:cs="Arial"/>
          <w:sz w:val="20"/>
        </w:rPr>
      </w:r>
      <w:r>
        <w:rPr>
          <w:rFonts w:ascii="Arial" w:hAnsi="Arial" w:cs="Arial"/>
          <w:sz w:val="20"/>
        </w:rPr>
        <w:fldChar w:fldCharType="separate"/>
      </w:r>
      <w:r>
        <w:rPr>
          <w:rFonts w:ascii="Arial" w:hAnsi="Arial" w:cs="Arial"/>
          <w:sz w:val="20"/>
        </w:rPr>
        <w:t>17</w:t>
      </w:r>
      <w:r>
        <w:rPr>
          <w:rFonts w:ascii="Arial" w:hAnsi="Arial" w:cs="Arial"/>
          <w:sz w:val="20"/>
        </w:rPr>
        <w:fldChar w:fldCharType="end"/>
      </w:r>
      <w:r>
        <w:rPr>
          <w:rFonts w:ascii="Arial" w:hAnsi="Arial" w:cs="Arial"/>
          <w:sz w:val="20"/>
        </w:rPr>
        <w:t xml:space="preserve"> below.</w:t>
      </w:r>
    </w:p>
    <w:p w14:paraId="02957EA5" w14:textId="77777777" w:rsidR="00B06F19" w:rsidRDefault="009A2766">
      <w:pPr>
        <w:pStyle w:val="Heading1"/>
      </w:pPr>
      <w:bookmarkStart w:id="64" w:name="_Toc8389567"/>
      <w:r>
        <w:t>Fair Usage Policy</w:t>
      </w:r>
      <w:bookmarkEnd w:id="64"/>
    </w:p>
    <w:p w14:paraId="3C282089" w14:textId="77777777" w:rsidR="00B06F19" w:rsidRDefault="009A2766">
      <w:pPr>
        <w:pStyle w:val="Heading2"/>
        <w:rPr>
          <w:rFonts w:ascii="Arial" w:hAnsi="Arial" w:cs="Arial"/>
          <w:sz w:val="20"/>
        </w:rPr>
      </w:pPr>
      <w:r>
        <w:rPr>
          <w:rFonts w:ascii="Arial" w:hAnsi="Arial" w:cs="Arial"/>
          <w:sz w:val="20"/>
        </w:rPr>
        <w:t>The Consumer</w:t>
      </w:r>
      <w:r>
        <w:rPr>
          <w:rFonts w:ascii="Arial" w:hAnsi="Arial" w:cs="Arial"/>
          <w:sz w:val="20"/>
        </w:rPr>
        <w:t xml:space="preserve"> Supplier agrees to abide by the Fair Usage Policy as set out within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6A750222" w14:textId="77777777" w:rsidR="00B06F19" w:rsidRDefault="009A2766">
      <w:pPr>
        <w:pStyle w:val="Heading2"/>
        <w:rPr>
          <w:rFonts w:ascii="Arial" w:hAnsi="Arial" w:cs="Arial"/>
          <w:sz w:val="20"/>
        </w:rPr>
      </w:pPr>
      <w:r>
        <w:rPr>
          <w:rFonts w:ascii="Arial" w:hAnsi="Arial" w:cs="Arial"/>
          <w:sz w:val="20"/>
        </w:rPr>
        <w:t xml:space="preserve">Where the Consumer Supplier commits a material breach of the Fair Usage Policy, </w:t>
      </w:r>
      <w:r>
        <w:rPr>
          <w:rFonts w:ascii="Arial" w:hAnsi="Arial" w:cs="Arial"/>
          <w:sz w:val="20"/>
        </w:rPr>
        <w:t>the Provider Supplier reserves the following rights under this Agreement:</w:t>
      </w:r>
    </w:p>
    <w:p w14:paraId="25DFC571" w14:textId="77777777" w:rsidR="00B06F19" w:rsidRDefault="009A2766">
      <w:pPr>
        <w:pStyle w:val="Heading3"/>
        <w:rPr>
          <w:rFonts w:ascii="Arial" w:hAnsi="Arial" w:cs="Arial"/>
          <w:sz w:val="20"/>
        </w:rPr>
      </w:pPr>
      <w:bookmarkStart w:id="65" w:name="_Ref1403139"/>
      <w:r>
        <w:rPr>
          <w:rFonts w:ascii="Arial" w:hAnsi="Arial" w:cs="Arial"/>
          <w:sz w:val="20"/>
        </w:rPr>
        <w:t>Interface throttling subject to immediate notification to the Catalogue Authority;</w:t>
      </w:r>
    </w:p>
    <w:p w14:paraId="14A659E5" w14:textId="77777777" w:rsidR="00B06F19" w:rsidRDefault="009A2766">
      <w:pPr>
        <w:pStyle w:val="Heading3"/>
        <w:rPr>
          <w:rFonts w:ascii="Arial" w:hAnsi="Arial" w:cs="Arial"/>
          <w:sz w:val="20"/>
        </w:rPr>
      </w:pPr>
      <w:r>
        <w:rPr>
          <w:rFonts w:ascii="Arial" w:hAnsi="Arial" w:cs="Arial"/>
          <w:sz w:val="20"/>
        </w:rPr>
        <w:t>suspension of Interface service to the Consumer Supplier, subject to 30 calendar days' notice;</w:t>
      </w:r>
    </w:p>
    <w:p w14:paraId="4CD35180" w14:textId="77777777" w:rsidR="00B06F19" w:rsidRDefault="009A2766">
      <w:pPr>
        <w:pStyle w:val="Heading3"/>
        <w:rPr>
          <w:rFonts w:ascii="Arial" w:hAnsi="Arial" w:cs="Arial"/>
          <w:sz w:val="20"/>
        </w:rPr>
      </w:pPr>
      <w:r>
        <w:rPr>
          <w:rFonts w:ascii="Arial" w:hAnsi="Arial" w:cs="Arial"/>
          <w:sz w:val="20"/>
        </w:rPr>
        <w:t>imme</w:t>
      </w:r>
      <w:r>
        <w:rPr>
          <w:rFonts w:ascii="Arial" w:hAnsi="Arial" w:cs="Arial"/>
          <w:sz w:val="20"/>
        </w:rPr>
        <w:t>diate suspension of Interface service upon discovery of data breach or clinical safety incident, subject to immediate notification to the Catalogue Authority; and/or</w:t>
      </w:r>
    </w:p>
    <w:bookmarkEnd w:id="65"/>
    <w:p w14:paraId="61EA74E3" w14:textId="77777777" w:rsidR="00B06F19" w:rsidRDefault="009A2766">
      <w:pPr>
        <w:pStyle w:val="Heading3"/>
        <w:rPr>
          <w:rFonts w:ascii="Arial" w:hAnsi="Arial" w:cs="Arial"/>
          <w:sz w:val="20"/>
        </w:rPr>
      </w:pPr>
      <w:r>
        <w:rPr>
          <w:rFonts w:ascii="Arial" w:hAnsi="Arial" w:cs="Arial"/>
          <w:sz w:val="20"/>
        </w:rPr>
        <w:t>termination of this Agreement, subject to the written consent of the Catalogue Authority.</w:t>
      </w:r>
    </w:p>
    <w:p w14:paraId="7A931D0D" w14:textId="77777777" w:rsidR="00B06F19" w:rsidRDefault="009A2766">
      <w:pPr>
        <w:pStyle w:val="Heading1"/>
      </w:pPr>
      <w:bookmarkStart w:id="66" w:name="_Toc8389568"/>
      <w:r>
        <w:t>charges</w:t>
      </w:r>
      <w:bookmarkEnd w:id="62"/>
      <w:bookmarkEnd w:id="66"/>
    </w:p>
    <w:p w14:paraId="78CE6DD6" w14:textId="77777777" w:rsidR="00B06F19" w:rsidRDefault="009A2766">
      <w:pPr>
        <w:pStyle w:val="Heading2"/>
        <w:numPr>
          <w:ilvl w:val="1"/>
          <w:numId w:val="14"/>
        </w:numPr>
        <w:rPr>
          <w:rFonts w:ascii="Arial" w:hAnsi="Arial" w:cs="Arial"/>
          <w:sz w:val="20"/>
        </w:rPr>
      </w:pPr>
      <w:r>
        <w:rPr>
          <w:rFonts w:ascii="Arial" w:hAnsi="Arial" w:cs="Arial"/>
          <w:sz w:val="20"/>
        </w:rPr>
        <w:t>Notwithstanding the constraints placed upon the Provider Supplier by the Commercial Standard to which it is subject under the Catalogue Agreement, the Provider Supplier may charge for services required for the successful delivery of a Connection.</w:t>
      </w:r>
    </w:p>
    <w:p w14:paraId="22589D29" w14:textId="77777777" w:rsidR="00B06F19" w:rsidRDefault="009A2766">
      <w:pPr>
        <w:pStyle w:val="Heading2"/>
        <w:numPr>
          <w:ilvl w:val="1"/>
          <w:numId w:val="14"/>
        </w:numPr>
        <w:rPr>
          <w:rFonts w:ascii="Arial" w:hAnsi="Arial" w:cs="Arial"/>
          <w:sz w:val="20"/>
        </w:rPr>
      </w:pPr>
      <w:r>
        <w:rPr>
          <w:rFonts w:ascii="Arial" w:hAnsi="Arial" w:cs="Arial"/>
          <w:sz w:val="20"/>
        </w:rPr>
        <w:lastRenderedPageBreak/>
        <w:t>N</w:t>
      </w:r>
      <w:r>
        <w:rPr>
          <w:rFonts w:ascii="Arial" w:hAnsi="Arial" w:cs="Arial"/>
          <w:sz w:val="20"/>
        </w:rPr>
        <w:t>otwithstanding the constraints placed upon the Provider Supplier by the Commercial Standard to which it is subject, the Provider Supplier may charge for continued use of the Interface periodically from the point of it confirming the Connection.</w:t>
      </w:r>
    </w:p>
    <w:p w14:paraId="3C91EF75" w14:textId="77777777" w:rsidR="00B06F19" w:rsidRDefault="009A2766">
      <w:pPr>
        <w:pStyle w:val="Heading2"/>
        <w:numPr>
          <w:ilvl w:val="1"/>
          <w:numId w:val="14"/>
        </w:numPr>
        <w:rPr>
          <w:rFonts w:ascii="Arial" w:hAnsi="Arial" w:cs="Arial"/>
          <w:sz w:val="20"/>
        </w:rPr>
      </w:pPr>
      <w:r>
        <w:rPr>
          <w:rFonts w:ascii="Arial" w:hAnsi="Arial" w:cs="Arial"/>
          <w:sz w:val="20"/>
        </w:rPr>
        <w:t>The Provide</w:t>
      </w:r>
      <w:r>
        <w:rPr>
          <w:rFonts w:ascii="Arial" w:hAnsi="Arial" w:cs="Arial"/>
          <w:sz w:val="20"/>
        </w:rPr>
        <w:t>r Supplier accepts that the Benchmark Data as published by the Catalogue Authority represents a fair commercial charge for the provision of the Interface and the services which are the subject of this Agreement.</w:t>
      </w:r>
    </w:p>
    <w:p w14:paraId="459C32DF" w14:textId="77777777" w:rsidR="00B06F19" w:rsidRDefault="009A2766">
      <w:pPr>
        <w:pStyle w:val="Heading2"/>
        <w:numPr>
          <w:ilvl w:val="1"/>
          <w:numId w:val="14"/>
        </w:numPr>
        <w:rPr>
          <w:rFonts w:ascii="Arial" w:hAnsi="Arial" w:cs="Arial"/>
          <w:sz w:val="20"/>
        </w:rPr>
      </w:pPr>
      <w:r>
        <w:rPr>
          <w:rFonts w:ascii="Arial" w:hAnsi="Arial" w:cs="Arial"/>
          <w:sz w:val="20"/>
        </w:rPr>
        <w:t>Where the Consumer Supplier satisfies the co</w:t>
      </w:r>
      <w:r>
        <w:rPr>
          <w:rFonts w:ascii="Arial" w:hAnsi="Arial" w:cs="Arial"/>
          <w:sz w:val="20"/>
        </w:rPr>
        <w:t>nditions of and completes the relevant declarations within the SCAL then any charges accruing from the enabling and servicing of a Connection shall be charged directly by the Provider Supplier to the relevant Framework Authority in accordance with the term</w:t>
      </w:r>
      <w:r>
        <w:rPr>
          <w:rFonts w:ascii="Arial" w:hAnsi="Arial" w:cs="Arial"/>
          <w:sz w:val="20"/>
        </w:rPr>
        <w:t>s of the relevant Framework Agreement.</w:t>
      </w:r>
    </w:p>
    <w:p w14:paraId="145866E9" w14:textId="77777777" w:rsidR="00B06F19" w:rsidRDefault="009A2766">
      <w:pPr>
        <w:pStyle w:val="Heading2"/>
        <w:numPr>
          <w:ilvl w:val="1"/>
          <w:numId w:val="14"/>
        </w:numPr>
        <w:rPr>
          <w:rFonts w:ascii="Arial" w:hAnsi="Arial" w:cs="Arial"/>
          <w:sz w:val="20"/>
        </w:rPr>
      </w:pPr>
      <w:bookmarkStart w:id="67" w:name="_Ref1421371"/>
      <w:r>
        <w:rPr>
          <w:rFonts w:ascii="Arial" w:hAnsi="Arial" w:cs="Arial"/>
          <w:sz w:val="20"/>
        </w:rPr>
        <w:t>Where the Consumer Supplier does not satisfy or will not make the relevant declarations then the relevant Framework Authority shall not accept charges on their behalf in relation to this Agreement.</w:t>
      </w:r>
      <w:bookmarkEnd w:id="67"/>
      <w:r>
        <w:rPr>
          <w:rFonts w:ascii="Arial" w:hAnsi="Arial" w:cs="Arial"/>
          <w:sz w:val="20"/>
        </w:rPr>
        <w:t xml:space="preserve"> If this occurs,  su</w:t>
      </w:r>
      <w:r>
        <w:rPr>
          <w:rFonts w:ascii="Arial" w:hAnsi="Arial" w:cs="Arial"/>
          <w:sz w:val="20"/>
        </w:rPr>
        <w:t>bject to the Consumer Supplier satisfying the remainder of the SCAL, the parties may agree charging arrangements with reference to the Benchmark Data published by the Catalogue Authority and complete the charging table in Schedule </w:t>
      </w:r>
      <w:r>
        <w:rPr>
          <w:rFonts w:ascii="Arial" w:hAnsi="Arial" w:cs="Arial"/>
          <w:sz w:val="20"/>
        </w:rPr>
        <w:fldChar w:fldCharType="begin"/>
      </w:r>
      <w:r>
        <w:rPr>
          <w:rFonts w:ascii="Arial" w:hAnsi="Arial" w:cs="Arial"/>
          <w:sz w:val="20"/>
        </w:rPr>
        <w:instrText xml:space="preserve"> REF _Ref2783792 \n \h \#</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sz w:val="20"/>
        </w:rPr>
        <w:t xml:space="preserve"> </w:t>
      </w:r>
      <w:r>
        <w:rPr>
          <w:rFonts w:ascii="Arial" w:hAnsi="Arial" w:cs="Arial"/>
          <w:sz w:val="20"/>
        </w:rPr>
        <w:fldChar w:fldCharType="end"/>
      </w:r>
      <w:r>
        <w:rPr>
          <w:rFonts w:ascii="Arial" w:hAnsi="Arial" w:cs="Arial"/>
          <w:sz w:val="20"/>
        </w:rPr>
        <w:t xml:space="preserve"> prior to achievement of a Connection.</w:t>
      </w:r>
    </w:p>
    <w:p w14:paraId="1E70C094" w14:textId="77777777" w:rsidR="00B06F19" w:rsidRDefault="009A2766">
      <w:pPr>
        <w:pStyle w:val="Heading1"/>
      </w:pPr>
      <w:bookmarkStart w:id="68" w:name="_Toc1570480"/>
      <w:bookmarkStart w:id="69" w:name="_Toc1570482"/>
      <w:bookmarkStart w:id="70" w:name="_Ref2869083"/>
      <w:bookmarkStart w:id="71" w:name="_Toc8389569"/>
      <w:bookmarkStart w:id="72" w:name="_Ref400115572"/>
      <w:bookmarkStart w:id="73" w:name="_Toc422303974"/>
      <w:bookmarkEnd w:id="38"/>
      <w:bookmarkEnd w:id="68"/>
      <w:bookmarkEnd w:id="69"/>
      <w:r>
        <w:t>personal Data</w:t>
      </w:r>
      <w:bookmarkStart w:id="74" w:name="_6a8f8215-eacd-4adb-8fbd-2679d2e27aeb"/>
      <w:bookmarkEnd w:id="70"/>
      <w:bookmarkEnd w:id="71"/>
      <w:bookmarkEnd w:id="74"/>
    </w:p>
    <w:p w14:paraId="6698AFA0" w14:textId="77777777" w:rsidR="00B06F19" w:rsidRDefault="009A2766">
      <w:pPr>
        <w:pStyle w:val="Heading2"/>
        <w:rPr>
          <w:rFonts w:ascii="Arial" w:hAnsi="Arial" w:cs="Arial"/>
          <w:sz w:val="20"/>
        </w:rPr>
      </w:pPr>
      <w:r>
        <w:rPr>
          <w:rFonts w:ascii="Arial" w:hAnsi="Arial" w:cs="Arial"/>
          <w:sz w:val="20"/>
        </w:rPr>
        <w:t>Each party shall comply with the Data Protection Laws as applicable to it in its processing of Personal Data pursuant to this Agreeme</w:t>
      </w:r>
      <w:r>
        <w:rPr>
          <w:rFonts w:ascii="Arial" w:hAnsi="Arial" w:cs="Arial"/>
          <w:sz w:val="20"/>
        </w:rPr>
        <w:t xml:space="preserve">nt and further each warrants and undertakes that: </w:t>
      </w:r>
    </w:p>
    <w:p w14:paraId="0A96805E" w14:textId="77777777" w:rsidR="00B06F19" w:rsidRDefault="009A2766">
      <w:pPr>
        <w:pStyle w:val="Heading3"/>
        <w:rPr>
          <w:rFonts w:ascii="Arial" w:hAnsi="Arial" w:cs="Arial"/>
          <w:sz w:val="20"/>
        </w:rPr>
      </w:pPr>
      <w:r>
        <w:rPr>
          <w:rFonts w:ascii="Arial" w:hAnsi="Arial" w:cs="Arial"/>
          <w:sz w:val="20"/>
        </w:rPr>
        <w:t>insofar as it is providing or receiving Personal Data pursuant to this Agreement as a Processor:</w:t>
      </w:r>
    </w:p>
    <w:p w14:paraId="4AC7578F" w14:textId="77777777" w:rsidR="00B06F19" w:rsidRDefault="009A2766">
      <w:pPr>
        <w:pStyle w:val="Heading4"/>
      </w:pPr>
      <w:r>
        <w:t xml:space="preserve">it is properly appointed to carry out such processing activities by a Controller, pursuant to written terms </w:t>
      </w:r>
      <w:r>
        <w:t>of instruction consistent with the requirements in Article 28(3) of the GDPR (“</w:t>
      </w:r>
      <w:r>
        <w:rPr>
          <w:b/>
          <w:bCs/>
        </w:rPr>
        <w:t>Data Processing Arrangements</w:t>
      </w:r>
      <w:r>
        <w:t>”); and</w:t>
      </w:r>
    </w:p>
    <w:p w14:paraId="5C76F8BE" w14:textId="77777777" w:rsidR="00B06F19" w:rsidRDefault="009A2766">
      <w:pPr>
        <w:pStyle w:val="Heading4"/>
      </w:pPr>
      <w:r>
        <w:t>they shall process such Personal Data at all times solely in accordance with the documented instructions in the Data Processing Arrangements,</w:t>
      </w:r>
      <w:r>
        <w:t xml:space="preserve"> except to the extent otherwise required by law;</w:t>
      </w:r>
    </w:p>
    <w:p w14:paraId="5B316B29" w14:textId="77777777" w:rsidR="00B06F19" w:rsidRDefault="009A2766">
      <w:pPr>
        <w:pStyle w:val="Heading3"/>
        <w:rPr>
          <w:rFonts w:ascii="Arial" w:hAnsi="Arial" w:cs="Arial"/>
          <w:sz w:val="20"/>
        </w:rPr>
      </w:pPr>
      <w:r>
        <w:rPr>
          <w:rFonts w:ascii="Arial" w:hAnsi="Arial" w:cs="Arial"/>
          <w:sz w:val="20"/>
        </w:rPr>
        <w:t>insofar as they are providing or receiving Personal Data pursuant to this Agreement as a Controller:</w:t>
      </w:r>
    </w:p>
    <w:p w14:paraId="11E8F171" w14:textId="77777777" w:rsidR="00B06F19" w:rsidRDefault="009A2766">
      <w:pPr>
        <w:pStyle w:val="Heading4"/>
      </w:pPr>
      <w:r>
        <w:t>the Personal Data shall be processed at all times lawfully, fairly and transparently;</w:t>
      </w:r>
    </w:p>
    <w:p w14:paraId="308344F5" w14:textId="77777777" w:rsidR="00B06F19" w:rsidRDefault="009A2766">
      <w:pPr>
        <w:pStyle w:val="Heading4"/>
      </w:pPr>
      <w:r>
        <w:t xml:space="preserve">the Personal </w:t>
      </w:r>
      <w:r>
        <w:t>Data shall be processed at all times in a manner that ensures appropriate security of the Personal Data; and</w:t>
      </w:r>
    </w:p>
    <w:p w14:paraId="36F93ABA" w14:textId="77777777" w:rsidR="00B06F19" w:rsidRDefault="009A2766">
      <w:pPr>
        <w:pStyle w:val="Heading4"/>
      </w:pPr>
      <w:r>
        <w:t>the Personal Data shall be kept for no longer than is necessary; and</w:t>
      </w:r>
    </w:p>
    <w:p w14:paraId="124ED59A" w14:textId="77777777" w:rsidR="00B06F19" w:rsidRDefault="009A2766">
      <w:pPr>
        <w:pStyle w:val="Heading4"/>
      </w:pPr>
      <w:r>
        <w:t xml:space="preserve">the Personal Data shall be processed in accordance with the other principles of data protection and legal requirements on a Controller set out in the Data Protection Laws. </w:t>
      </w:r>
    </w:p>
    <w:p w14:paraId="75653B3A" w14:textId="77777777" w:rsidR="00B06F19" w:rsidRDefault="009A2766">
      <w:pPr>
        <w:pStyle w:val="Heading2"/>
        <w:rPr>
          <w:rFonts w:ascii="Arial" w:eastAsia="Times New Roman" w:hAnsi="Arial" w:cs="Arial"/>
          <w:sz w:val="20"/>
        </w:rPr>
      </w:pPr>
      <w:r>
        <w:rPr>
          <w:rFonts w:ascii="Arial" w:eastAsia="Times New Roman" w:hAnsi="Arial" w:cs="Arial"/>
          <w:sz w:val="20"/>
        </w:rPr>
        <w:t>The parties acknowledge and agree that the Consumer Supplier is only permitted to a</w:t>
      </w:r>
      <w:r>
        <w:rPr>
          <w:rFonts w:ascii="Arial" w:eastAsia="Times New Roman" w:hAnsi="Arial" w:cs="Arial"/>
          <w:sz w:val="20"/>
        </w:rPr>
        <w:t>ccess and process the Personal Data on instruction from a third party Controller and at all times only for the purposes of using the Provider Supplier's Interface as described in clauses </w:t>
      </w:r>
      <w:r>
        <w:rPr>
          <w:rFonts w:ascii="Arial" w:eastAsia="Times New Roman" w:hAnsi="Arial" w:cs="Arial"/>
          <w:sz w:val="20"/>
        </w:rPr>
        <w:fldChar w:fldCharType="begin"/>
      </w:r>
      <w:r>
        <w:rPr>
          <w:rFonts w:ascii="Arial" w:eastAsia="Times New Roman" w:hAnsi="Arial" w:cs="Arial"/>
          <w:sz w:val="20"/>
        </w:rPr>
        <w:instrText xml:space="preserve"> REF _Ref8217570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3</w:t>
      </w:r>
      <w:r>
        <w:rPr>
          <w:rFonts w:ascii="Arial" w:eastAsia="Times New Roman" w:hAnsi="Arial" w:cs="Arial"/>
          <w:sz w:val="20"/>
        </w:rPr>
        <w:fldChar w:fldCharType="end"/>
      </w:r>
      <w:r>
        <w:rPr>
          <w:rFonts w:ascii="Arial" w:eastAsia="Times New Roman" w:hAnsi="Arial" w:cs="Arial"/>
          <w:sz w:val="20"/>
        </w:rPr>
        <w:t xml:space="preserve"> and </w:t>
      </w:r>
      <w:r>
        <w:rPr>
          <w:rFonts w:ascii="Arial" w:eastAsia="Times New Roman" w:hAnsi="Arial" w:cs="Arial"/>
          <w:sz w:val="20"/>
        </w:rPr>
        <w:fldChar w:fldCharType="begin"/>
      </w:r>
      <w:r>
        <w:rPr>
          <w:rFonts w:ascii="Arial" w:eastAsia="Times New Roman" w:hAnsi="Arial" w:cs="Arial"/>
          <w:sz w:val="20"/>
        </w:rPr>
        <w:instrText xml:space="preserve"> REF _Ref8217577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4</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Permitted Purposes"</w:t>
      </w:r>
      <w:r>
        <w:rPr>
          <w:rFonts w:ascii="Arial" w:eastAsia="Times New Roman" w:hAnsi="Arial" w:cs="Arial"/>
          <w:sz w:val="20"/>
        </w:rPr>
        <w:t xml:space="preserve">). </w:t>
      </w:r>
    </w:p>
    <w:p w14:paraId="479E0872" w14:textId="77777777" w:rsidR="00B06F19" w:rsidRDefault="009A2766">
      <w:pPr>
        <w:pStyle w:val="Heading2"/>
        <w:keepNext/>
        <w:rPr>
          <w:rFonts w:ascii="Arial" w:eastAsia="Times New Roman" w:hAnsi="Arial" w:cs="Arial"/>
          <w:sz w:val="20"/>
        </w:rPr>
      </w:pPr>
      <w:r>
        <w:rPr>
          <w:rFonts w:ascii="Arial" w:eastAsia="Times New Roman" w:hAnsi="Arial" w:cs="Arial"/>
          <w:sz w:val="20"/>
        </w:rPr>
        <w:lastRenderedPageBreak/>
        <w:t>The Consumer Supplier warrants and undertakes that:</w:t>
      </w:r>
    </w:p>
    <w:p w14:paraId="14B6D84E" w14:textId="77777777" w:rsidR="00B06F19" w:rsidRDefault="009A2766">
      <w:pPr>
        <w:pStyle w:val="Heading3"/>
        <w:rPr>
          <w:rFonts w:ascii="Arial" w:eastAsia="Times New Roman" w:hAnsi="Arial" w:cs="Arial"/>
          <w:sz w:val="20"/>
        </w:rPr>
      </w:pPr>
      <w:r>
        <w:rPr>
          <w:rFonts w:ascii="Arial" w:hAnsi="Arial" w:cs="Arial"/>
          <w:sz w:val="20"/>
        </w:rPr>
        <w:t>it shall only access and process Personal Data made available by</w:t>
      </w:r>
      <w:r>
        <w:rPr>
          <w:rFonts w:ascii="Arial" w:hAnsi="Arial" w:cs="Arial"/>
          <w:sz w:val="20"/>
        </w:rPr>
        <w:t xml:space="preserve"> the Provider Supplier pursuant to this Agreement for the Permitted Purposes;</w:t>
      </w:r>
    </w:p>
    <w:p w14:paraId="4594E879" w14:textId="77777777" w:rsidR="00B06F19" w:rsidRDefault="009A2766">
      <w:pPr>
        <w:pStyle w:val="Heading3"/>
        <w:rPr>
          <w:rFonts w:ascii="Arial" w:eastAsia="Times New Roman" w:hAnsi="Arial" w:cs="Arial"/>
          <w:sz w:val="20"/>
        </w:rPr>
      </w:pPr>
      <w:r>
        <w:rPr>
          <w:rFonts w:ascii="Arial" w:eastAsia="Times New Roman" w:hAnsi="Arial" w:cs="Arial"/>
          <w:sz w:val="20"/>
        </w:rPr>
        <w:t>it shall not access or process the Personal Data for any other purpose;</w:t>
      </w:r>
    </w:p>
    <w:p w14:paraId="7CA75660" w14:textId="77777777" w:rsidR="00B06F19" w:rsidRDefault="009A2766">
      <w:pPr>
        <w:pStyle w:val="Heading3"/>
        <w:rPr>
          <w:rFonts w:ascii="Arial" w:eastAsia="Times New Roman" w:hAnsi="Arial" w:cs="Arial"/>
          <w:sz w:val="20"/>
        </w:rPr>
      </w:pPr>
      <w:r>
        <w:rPr>
          <w:rFonts w:ascii="Arial" w:eastAsia="Times New Roman" w:hAnsi="Arial" w:cs="Arial"/>
          <w:sz w:val="20"/>
        </w:rPr>
        <w:t>in circumstances where it processes Personal Data pursuant to this Agreement as a Processor for a third pa</w:t>
      </w:r>
      <w:r>
        <w:rPr>
          <w:rFonts w:ascii="Arial" w:eastAsia="Times New Roman" w:hAnsi="Arial" w:cs="Arial"/>
          <w:sz w:val="20"/>
        </w:rPr>
        <w:t>rty Controller, it has been lawfully appointed to undertake such processing by the relevant Controller pursuant to written terms of instruction consistent with the requirements in Article 28(3) GDPR; and</w:t>
      </w:r>
    </w:p>
    <w:p w14:paraId="3AA99AB6" w14:textId="77777777" w:rsidR="00B06F19" w:rsidRDefault="009A2766">
      <w:pPr>
        <w:pStyle w:val="Heading3"/>
        <w:rPr>
          <w:rFonts w:ascii="Arial" w:eastAsia="Times New Roman" w:hAnsi="Arial" w:cs="Arial"/>
          <w:sz w:val="20"/>
        </w:rPr>
      </w:pPr>
      <w:r>
        <w:rPr>
          <w:rFonts w:ascii="Arial" w:eastAsia="Times New Roman" w:hAnsi="Arial" w:cs="Arial"/>
          <w:sz w:val="20"/>
        </w:rPr>
        <w:t>it shall carry out (or in any case where it is actin</w:t>
      </w:r>
      <w:r>
        <w:rPr>
          <w:rFonts w:ascii="Arial" w:eastAsia="Times New Roman" w:hAnsi="Arial" w:cs="Arial"/>
          <w:sz w:val="20"/>
        </w:rPr>
        <w:t xml:space="preserve">g as a Processor, shall support the relevant Controller in carrying out) any data protection impact assessments that may be necessary pursuant to Articles 35 GDPR in relation to the processing activities envisaged by this Agreement. </w:t>
      </w:r>
    </w:p>
    <w:p w14:paraId="17A0F915" w14:textId="77777777" w:rsidR="00B06F19" w:rsidRDefault="009A2766">
      <w:pPr>
        <w:pStyle w:val="Heading2"/>
        <w:rPr>
          <w:rFonts w:ascii="Arial" w:eastAsia="Times New Roman" w:hAnsi="Arial" w:cs="Arial"/>
          <w:sz w:val="20"/>
        </w:rPr>
      </w:pPr>
      <w:r>
        <w:rPr>
          <w:rFonts w:ascii="Arial" w:eastAsia="Times New Roman" w:hAnsi="Arial" w:cs="Arial"/>
          <w:sz w:val="20"/>
        </w:rPr>
        <w:t xml:space="preserve">The Consumer Supplier </w:t>
      </w:r>
      <w:r>
        <w:rPr>
          <w:rFonts w:ascii="Arial" w:eastAsia="Times New Roman" w:hAnsi="Arial" w:cs="Arial"/>
          <w:sz w:val="20"/>
        </w:rPr>
        <w:t>shall, at all times, during and after the term of this Agreement, on written demand, indemnify, defend and hold harmless the Provider Supplier and/or any Controller it represents from and against:</w:t>
      </w:r>
    </w:p>
    <w:p w14:paraId="1580609D" w14:textId="77777777" w:rsidR="00B06F19" w:rsidRDefault="009A2766">
      <w:pPr>
        <w:pStyle w:val="Heading3"/>
        <w:rPr>
          <w:rFonts w:ascii="Arial" w:hAnsi="Arial" w:cs="Arial"/>
          <w:sz w:val="20"/>
        </w:rPr>
      </w:pPr>
      <w:r>
        <w:rPr>
          <w:rFonts w:ascii="Arial" w:eastAsia="Times New Roman" w:hAnsi="Arial" w:cs="Arial"/>
          <w:sz w:val="20"/>
        </w:rPr>
        <w:t>all fines</w:t>
      </w:r>
      <w:r>
        <w:rPr>
          <w:rFonts w:ascii="Arial" w:hAnsi="Arial" w:cs="Arial"/>
          <w:sz w:val="20"/>
        </w:rPr>
        <w:t>, penalties and awards; and/or</w:t>
      </w:r>
    </w:p>
    <w:p w14:paraId="79073389" w14:textId="77777777" w:rsidR="00B06F19" w:rsidRDefault="009A2766">
      <w:pPr>
        <w:pStyle w:val="Heading3"/>
        <w:rPr>
          <w:rFonts w:ascii="Arial" w:eastAsia="Times New Roman" w:hAnsi="Arial" w:cs="Arial"/>
          <w:sz w:val="20"/>
        </w:rPr>
      </w:pPr>
      <w:r>
        <w:rPr>
          <w:rFonts w:ascii="Arial" w:hAnsi="Arial" w:cs="Arial"/>
          <w:sz w:val="20"/>
        </w:rPr>
        <w:t>all other losses, l</w:t>
      </w:r>
      <w:r>
        <w:rPr>
          <w:rFonts w:ascii="Arial" w:hAnsi="Arial" w:cs="Arial"/>
          <w:sz w:val="20"/>
        </w:rPr>
        <w:t>iabilities, claims, damages, demands, actions, proceedings, compensation</w:t>
      </w:r>
      <w:r>
        <w:rPr>
          <w:rFonts w:ascii="Arial" w:eastAsia="Times New Roman" w:hAnsi="Arial" w:cs="Arial"/>
          <w:sz w:val="20"/>
        </w:rPr>
        <w:t xml:space="preserve">, settlements, costs and expenses and/or professional costs and/or charges, </w:t>
      </w:r>
    </w:p>
    <w:p w14:paraId="2450FA12" w14:textId="77777777" w:rsidR="00B06F19" w:rsidRDefault="009A2766">
      <w:pPr>
        <w:pStyle w:val="Heading2"/>
        <w:numPr>
          <w:ilvl w:val="0"/>
          <w:numId w:val="0"/>
        </w:numPr>
        <w:ind w:left="720"/>
        <w:rPr>
          <w:rFonts w:ascii="Arial" w:eastAsia="Times New Roman" w:hAnsi="Arial" w:cs="Arial"/>
          <w:sz w:val="20"/>
        </w:rPr>
      </w:pPr>
      <w:r>
        <w:rPr>
          <w:rFonts w:ascii="Arial" w:eastAsia="Times New Roman" w:hAnsi="Arial" w:cs="Arial"/>
          <w:sz w:val="20"/>
        </w:rPr>
        <w:t>incurred by, awarded against or agreed to be paid by the Provider Supplier and/or any Controller it represe</w:t>
      </w:r>
      <w:r>
        <w:rPr>
          <w:rFonts w:ascii="Arial" w:eastAsia="Times New Roman" w:hAnsi="Arial" w:cs="Arial"/>
          <w:sz w:val="20"/>
        </w:rPr>
        <w:t>nts arising out of or in connection with any breach by the Consumer Supplier of the Data Protection Laws and/or this clause </w:t>
      </w:r>
      <w:r>
        <w:rPr>
          <w:rFonts w:ascii="Arial" w:eastAsia="Times New Roman" w:hAnsi="Arial" w:cs="Arial"/>
          <w:sz w:val="20"/>
        </w:rPr>
        <w:fldChar w:fldCharType="begin"/>
      </w:r>
      <w:r>
        <w:rPr>
          <w:rFonts w:ascii="Arial" w:eastAsia="Times New Roman" w:hAnsi="Arial" w:cs="Arial"/>
          <w:sz w:val="20"/>
        </w:rPr>
        <w:instrText xml:space="preserve"> REF _Ref2869083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9</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Data Protection Losses</w:t>
      </w:r>
      <w:r>
        <w:rPr>
          <w:rFonts w:ascii="Arial" w:eastAsia="Times New Roman" w:hAnsi="Arial" w:cs="Arial"/>
          <w:sz w:val="20"/>
        </w:rPr>
        <w:t>"). </w:t>
      </w:r>
    </w:p>
    <w:p w14:paraId="51963C36" w14:textId="77777777" w:rsidR="00B06F19" w:rsidRDefault="009A2766">
      <w:pPr>
        <w:pStyle w:val="Heading1"/>
      </w:pPr>
      <w:bookmarkStart w:id="75" w:name="_Toc8389570"/>
      <w:r>
        <w:t>CONFIDENTIAL</w:t>
      </w:r>
      <w:r>
        <w:t>ITY</w:t>
      </w:r>
      <w:bookmarkEnd w:id="75"/>
      <w:r>
        <w:t xml:space="preserve"> </w:t>
      </w:r>
    </w:p>
    <w:bookmarkEnd w:id="72"/>
    <w:bookmarkEnd w:id="73"/>
    <w:p w14:paraId="0B90BBE3" w14:textId="77777777" w:rsidR="00B06F19" w:rsidRDefault="009A2766">
      <w:pPr>
        <w:pStyle w:val="Heading2"/>
        <w:rPr>
          <w:rFonts w:ascii="Arial" w:hAnsi="Arial" w:cs="Arial"/>
          <w:sz w:val="20"/>
        </w:rPr>
      </w:pPr>
      <w:r>
        <w:rPr>
          <w:rFonts w:ascii="Arial" w:hAnsi="Arial" w:cs="Arial"/>
          <w:sz w:val="20"/>
        </w:rPr>
        <w:t>Each party shall maintain the confidentiality of the other party’s Confidential Information and shall not without the prior written consent of the other party use, disclose, copy or modify the other party’s Confidential Information (or permit others t</w:t>
      </w:r>
      <w:r>
        <w:rPr>
          <w:rFonts w:ascii="Arial" w:hAnsi="Arial" w:cs="Arial"/>
          <w:sz w:val="20"/>
        </w:rPr>
        <w:t>o do so) other than as necessary for the performance of its rights and obligations under this Agreement.</w:t>
      </w:r>
      <w:bookmarkStart w:id="76" w:name="_2b2359c7-c2b6-41f9-8324-cc02469a154a"/>
      <w:bookmarkEnd w:id="76"/>
    </w:p>
    <w:p w14:paraId="4A84A5E4" w14:textId="77777777" w:rsidR="00B06F19" w:rsidRDefault="009A2766">
      <w:pPr>
        <w:pStyle w:val="Heading2"/>
        <w:rPr>
          <w:rFonts w:ascii="Arial" w:hAnsi="Arial" w:cs="Arial"/>
          <w:sz w:val="20"/>
        </w:rPr>
      </w:pPr>
      <w:r>
        <w:rPr>
          <w:rFonts w:ascii="Arial" w:hAnsi="Arial" w:cs="Arial"/>
          <w:sz w:val="20"/>
        </w:rPr>
        <w:t>Each party undertakes to:</w:t>
      </w:r>
      <w:bookmarkStart w:id="77" w:name="_2e883c2f-520e-4508-aed9-4b226855baf6"/>
      <w:bookmarkEnd w:id="77"/>
    </w:p>
    <w:p w14:paraId="5DDCFF08" w14:textId="77777777" w:rsidR="00B06F19" w:rsidRDefault="009A2766">
      <w:pPr>
        <w:pStyle w:val="Heading3"/>
        <w:rPr>
          <w:rFonts w:ascii="Arial" w:hAnsi="Arial" w:cs="Arial"/>
          <w:sz w:val="20"/>
        </w:rPr>
      </w:pPr>
      <w:r>
        <w:rPr>
          <w:rFonts w:ascii="Arial" w:hAnsi="Arial" w:cs="Arial"/>
          <w:sz w:val="20"/>
        </w:rPr>
        <w:t xml:space="preserve">disclose the other party’s Confidential Information only to those of its officers, employees, agents, </w:t>
      </w:r>
      <w:r>
        <w:rPr>
          <w:rFonts w:ascii="Arial" w:hAnsi="Arial" w:cs="Arial"/>
          <w:sz w:val="20"/>
        </w:rPr>
        <w:t>professional advisers and contractors to whom and to the extent to which such disclosure is necessary for the purposes contemplated under this Agreement;</w:t>
      </w:r>
      <w:bookmarkStart w:id="78" w:name="_4292ca60-6c7f-46d2-9904-401195ea6055"/>
      <w:bookmarkEnd w:id="78"/>
    </w:p>
    <w:p w14:paraId="0230C2A2" w14:textId="77777777" w:rsidR="00B06F19" w:rsidRDefault="009A2766">
      <w:pPr>
        <w:pStyle w:val="Heading3"/>
        <w:rPr>
          <w:rFonts w:ascii="Arial" w:hAnsi="Arial" w:cs="Arial"/>
          <w:sz w:val="20"/>
        </w:rPr>
      </w:pPr>
      <w:r>
        <w:rPr>
          <w:rFonts w:ascii="Arial" w:hAnsi="Arial" w:cs="Arial"/>
          <w:sz w:val="20"/>
        </w:rPr>
        <w:t>to procure that such persons are made aware of and agree in writing to observe the obligations in this</w:t>
      </w:r>
      <w:r>
        <w:rPr>
          <w:rFonts w:ascii="Arial" w:hAnsi="Arial" w:cs="Arial"/>
          <w:sz w:val="20"/>
        </w:rPr>
        <w:t xml:space="preserve"> clause; and</w:t>
      </w:r>
      <w:bookmarkStart w:id="79" w:name="_40c89c86-4341-4aee-82a0-b7235e26a023"/>
      <w:bookmarkEnd w:id="79"/>
    </w:p>
    <w:p w14:paraId="23A76378" w14:textId="77777777" w:rsidR="00B06F19" w:rsidRDefault="009A2766">
      <w:pPr>
        <w:pStyle w:val="Heading3"/>
        <w:rPr>
          <w:rFonts w:ascii="Arial" w:hAnsi="Arial" w:cs="Arial"/>
          <w:sz w:val="20"/>
        </w:rPr>
      </w:pPr>
      <w:r>
        <w:rPr>
          <w:rFonts w:ascii="Arial" w:hAnsi="Arial" w:cs="Arial"/>
          <w:sz w:val="20"/>
        </w:rPr>
        <w:t>give notice to the other of any unauthorised misuse, disclosure, theft or loss of the other party’s Confidential Information immediately upon becoming aware of it.</w:t>
      </w:r>
      <w:bookmarkStart w:id="80" w:name="_62f06219-5ca2-4e9f-a7c1-65b7c5ef131e"/>
      <w:bookmarkEnd w:id="80"/>
    </w:p>
    <w:p w14:paraId="679FC949" w14:textId="77777777" w:rsidR="00B06F19" w:rsidRDefault="009A2766">
      <w:pPr>
        <w:pStyle w:val="Heading2"/>
        <w:rPr>
          <w:rFonts w:ascii="Arial" w:hAnsi="Arial" w:cs="Arial"/>
          <w:sz w:val="20"/>
        </w:rPr>
      </w:pPr>
      <w:r>
        <w:rPr>
          <w:rFonts w:ascii="Arial" w:hAnsi="Arial" w:cs="Arial"/>
          <w:sz w:val="20"/>
        </w:rPr>
        <w:t>The obligations under this clause shall survive the variation, expiry or termin</w:t>
      </w:r>
      <w:r>
        <w:rPr>
          <w:rFonts w:ascii="Arial" w:hAnsi="Arial" w:cs="Arial"/>
          <w:sz w:val="20"/>
        </w:rPr>
        <w:t>ation of this Agreement for a period of seven years thereafter.</w:t>
      </w:r>
    </w:p>
    <w:p w14:paraId="77F9EC6D" w14:textId="77777777" w:rsidR="00B06F19" w:rsidRDefault="009A2766">
      <w:pPr>
        <w:pStyle w:val="Heading1"/>
      </w:pPr>
      <w:bookmarkStart w:id="81" w:name="_Toc8389571"/>
      <w:bookmarkStart w:id="82" w:name="_Ref400117289"/>
      <w:bookmarkStart w:id="83" w:name="_Toc422303976"/>
      <w:r>
        <w:lastRenderedPageBreak/>
        <w:t>intellectual property</w:t>
      </w:r>
      <w:bookmarkEnd w:id="81"/>
      <w:r>
        <w:t xml:space="preserve"> </w:t>
      </w:r>
    </w:p>
    <w:p w14:paraId="49F01BEA" w14:textId="77777777" w:rsidR="00B06F19" w:rsidRDefault="009A2766">
      <w:pPr>
        <w:pStyle w:val="Heading2"/>
        <w:rPr>
          <w:rFonts w:ascii="Arial" w:hAnsi="Arial" w:cs="Arial"/>
          <w:sz w:val="20"/>
        </w:rPr>
      </w:pPr>
      <w:r>
        <w:rPr>
          <w:rFonts w:ascii="Arial" w:hAnsi="Arial" w:cs="Arial"/>
          <w:sz w:val="20"/>
        </w:rPr>
        <w:t>All Intellectual Property Rights created and developed by (or on behalf of) the Provider Supplier which subsist or are used in, or in connection with, the Provider Suppl</w:t>
      </w:r>
      <w:r>
        <w:rPr>
          <w:rFonts w:ascii="Arial" w:hAnsi="Arial" w:cs="Arial"/>
          <w:sz w:val="20"/>
        </w:rPr>
        <w:t xml:space="preserve">ier's Interface and its proprietary software and applications will be the absolute property of, and will vest and remain vested in the Provider Supplier.  </w:t>
      </w:r>
    </w:p>
    <w:p w14:paraId="1B6BC5D7" w14:textId="77777777" w:rsidR="00B06F19" w:rsidRDefault="009A2766">
      <w:pPr>
        <w:pStyle w:val="Heading2"/>
        <w:keepLines/>
        <w:rPr>
          <w:rFonts w:ascii="Arial" w:hAnsi="Arial" w:cs="Arial"/>
          <w:sz w:val="20"/>
        </w:rPr>
      </w:pPr>
      <w:r>
        <w:rPr>
          <w:rFonts w:ascii="Arial" w:hAnsi="Arial" w:cs="Arial"/>
          <w:sz w:val="20"/>
        </w:rPr>
        <w:t>All Intellectual Property Rights created and developed by (or on behalf of) the Consumer Supplier wh</w:t>
      </w:r>
      <w:r>
        <w:rPr>
          <w:rFonts w:ascii="Arial" w:hAnsi="Arial" w:cs="Arial"/>
          <w:sz w:val="20"/>
        </w:rPr>
        <w:t xml:space="preserve">ich subsist or are used in, or in connection with, the Consumer Supplier's proprietary software, applications and Interfaces will be the absolute property of, and will vest and remain vested in the Consumer Supplier. </w:t>
      </w:r>
    </w:p>
    <w:p w14:paraId="109176D1" w14:textId="77777777" w:rsidR="00B06F19" w:rsidRDefault="009A2766">
      <w:pPr>
        <w:pStyle w:val="Heading2"/>
        <w:rPr>
          <w:rFonts w:ascii="Arial" w:hAnsi="Arial" w:cs="Arial"/>
          <w:sz w:val="20"/>
        </w:rPr>
      </w:pPr>
      <w:r>
        <w:rPr>
          <w:rFonts w:ascii="Arial" w:hAnsi="Arial" w:cs="Arial"/>
          <w:sz w:val="20"/>
        </w:rPr>
        <w:t>The Provider Supplier and the Consumer</w:t>
      </w:r>
      <w:r>
        <w:rPr>
          <w:rFonts w:ascii="Arial" w:hAnsi="Arial" w:cs="Arial"/>
          <w:sz w:val="20"/>
        </w:rPr>
        <w:t xml:space="preserve"> Supplier shall not acquire ownership of any rights in NHS Data (including where material enhancements have created derived information or data which contains any Personal Data). </w:t>
      </w:r>
    </w:p>
    <w:p w14:paraId="3787DBC2" w14:textId="77777777" w:rsidR="00B06F19" w:rsidRDefault="009A2766">
      <w:pPr>
        <w:pStyle w:val="Heading1"/>
      </w:pPr>
      <w:bookmarkStart w:id="84" w:name="_Toc8389572"/>
      <w:bookmarkStart w:id="85" w:name="_Ref414629433"/>
      <w:bookmarkStart w:id="86" w:name="_Ref414629459"/>
      <w:bookmarkStart w:id="87" w:name="_Ref414629476"/>
      <w:bookmarkStart w:id="88" w:name="_Ref414629493"/>
      <w:bookmarkStart w:id="89" w:name="_Ref414629517"/>
      <w:bookmarkStart w:id="90" w:name="_Toc422303977"/>
      <w:bookmarkEnd w:id="82"/>
      <w:bookmarkEnd w:id="83"/>
      <w:r>
        <w:t>TERMINATION</w:t>
      </w:r>
      <w:bookmarkEnd w:id="84"/>
      <w:r>
        <w:t xml:space="preserve"> </w:t>
      </w:r>
      <w:bookmarkEnd w:id="85"/>
      <w:bookmarkEnd w:id="86"/>
      <w:bookmarkEnd w:id="87"/>
      <w:bookmarkEnd w:id="88"/>
      <w:bookmarkEnd w:id="89"/>
      <w:bookmarkEnd w:id="90"/>
      <w:r>
        <w:t xml:space="preserve"> </w:t>
      </w:r>
    </w:p>
    <w:p w14:paraId="72068547" w14:textId="77777777" w:rsidR="00B06F19" w:rsidRDefault="009A2766">
      <w:pPr>
        <w:pStyle w:val="Heading2"/>
        <w:keepNext/>
        <w:rPr>
          <w:rFonts w:ascii="Arial" w:hAnsi="Arial" w:cs="Arial"/>
          <w:sz w:val="20"/>
        </w:rPr>
      </w:pPr>
      <w:r>
        <w:rPr>
          <w:rFonts w:ascii="Arial" w:hAnsi="Arial" w:cs="Arial"/>
          <w:sz w:val="20"/>
        </w:rPr>
        <w:t>Either party may, without prejudice to its other rights and re</w:t>
      </w:r>
      <w:r>
        <w:rPr>
          <w:rFonts w:ascii="Arial" w:hAnsi="Arial" w:cs="Arial"/>
          <w:sz w:val="20"/>
        </w:rPr>
        <w:t>medies arising under or in connection with this Agreement or by law, terminate this Agreement with immediate effect by written notice to the other, on or at any time after the occurrence of any of the following events:</w:t>
      </w:r>
    </w:p>
    <w:p w14:paraId="7F33F2E5" w14:textId="77777777" w:rsidR="00B06F19" w:rsidRDefault="009A2766">
      <w:pPr>
        <w:pStyle w:val="Heading3"/>
        <w:rPr>
          <w:rFonts w:ascii="Arial" w:hAnsi="Arial" w:cs="Arial"/>
          <w:sz w:val="20"/>
        </w:rPr>
      </w:pPr>
      <w:bookmarkStart w:id="91" w:name="_Ref400115885"/>
      <w:r>
        <w:rPr>
          <w:rFonts w:ascii="Arial" w:hAnsi="Arial" w:cs="Arial"/>
          <w:sz w:val="20"/>
        </w:rPr>
        <w:t>the other party commits a material br</w:t>
      </w:r>
      <w:r>
        <w:rPr>
          <w:rFonts w:ascii="Arial" w:hAnsi="Arial" w:cs="Arial"/>
          <w:sz w:val="20"/>
        </w:rPr>
        <w:t>each of this Agreement (being a single event or a series of events which together constitute a material breach) which</w:t>
      </w:r>
      <w:bookmarkEnd w:id="91"/>
      <w:r>
        <w:rPr>
          <w:rFonts w:ascii="Arial" w:hAnsi="Arial" w:cs="Arial"/>
          <w:sz w:val="20"/>
        </w:rPr>
        <w:t xml:space="preserve"> is incapable of remedy or is capable of remedy but has not been remedied within 30 days (or such longer period as may be specified in the </w:t>
      </w:r>
      <w:r>
        <w:rPr>
          <w:rFonts w:ascii="Arial" w:hAnsi="Arial" w:cs="Arial"/>
          <w:sz w:val="20"/>
        </w:rPr>
        <w:t>notice), of receipt of a written notice identifying the material breach and the intention to terminate this Agreement if the breach is not remedied; or</w:t>
      </w:r>
    </w:p>
    <w:p w14:paraId="06FA3002" w14:textId="77777777" w:rsidR="00B06F19" w:rsidRDefault="009A2766">
      <w:pPr>
        <w:pStyle w:val="Heading3"/>
        <w:rPr>
          <w:rFonts w:ascii="Arial" w:hAnsi="Arial" w:cs="Arial"/>
          <w:sz w:val="20"/>
        </w:rPr>
      </w:pPr>
      <w:bookmarkStart w:id="92" w:name="_Ref529277669"/>
      <w:bookmarkStart w:id="93" w:name="_Ref400115866"/>
      <w:r>
        <w:rPr>
          <w:rFonts w:ascii="Arial" w:hAnsi="Arial" w:cs="Arial"/>
          <w:sz w:val="20"/>
        </w:rPr>
        <w:t>the other party is, or is adjudicated or found to be, insolvent as set out in section 123 of the Insolve</w:t>
      </w:r>
      <w:r>
        <w:rPr>
          <w:rFonts w:ascii="Arial" w:hAnsi="Arial" w:cs="Arial"/>
          <w:sz w:val="20"/>
        </w:rPr>
        <w:t xml:space="preserve">ncy Act 1986 (whether or not the company is registered or unregistered) or stops or suspends payments of its debts or is (or is deemed to be) unable to or has no real prospect of being able to or admits inability to pay its debts as they fall due or fails </w:t>
      </w:r>
      <w:r>
        <w:rPr>
          <w:rFonts w:ascii="Arial" w:hAnsi="Arial" w:cs="Arial"/>
          <w:sz w:val="20"/>
        </w:rPr>
        <w:t>to satisfy any judgment debt in whole or in part within 14 days of the judgment date; or</w:t>
      </w:r>
      <w:bookmarkEnd w:id="92"/>
    </w:p>
    <w:p w14:paraId="47107718" w14:textId="77777777" w:rsidR="00B06F19" w:rsidRDefault="009A2766">
      <w:pPr>
        <w:pStyle w:val="Heading3"/>
        <w:rPr>
          <w:rFonts w:ascii="Arial" w:hAnsi="Arial" w:cs="Arial"/>
          <w:sz w:val="20"/>
        </w:rPr>
      </w:pPr>
      <w:r>
        <w:rPr>
          <w:rFonts w:ascii="Arial" w:hAnsi="Arial" w:cs="Arial"/>
          <w:sz w:val="20"/>
        </w:rPr>
        <w:t>the other party enters into an arrangement, compromise or composition in satisfaction of its debts with its creditors or any class of them; or</w:t>
      </w:r>
    </w:p>
    <w:p w14:paraId="5DB5C0AA" w14:textId="77777777" w:rsidR="00B06F19" w:rsidRDefault="009A2766">
      <w:pPr>
        <w:pStyle w:val="Heading3"/>
        <w:rPr>
          <w:rFonts w:ascii="Arial" w:hAnsi="Arial" w:cs="Arial"/>
          <w:sz w:val="20"/>
        </w:rPr>
      </w:pPr>
      <w:r>
        <w:rPr>
          <w:rFonts w:ascii="Arial" w:hAnsi="Arial" w:cs="Arial"/>
          <w:sz w:val="20"/>
        </w:rPr>
        <w:t xml:space="preserve">the other party </w:t>
      </w:r>
      <w:r>
        <w:rPr>
          <w:rFonts w:ascii="Arial" w:hAnsi="Arial" w:cs="Arial"/>
          <w:sz w:val="20"/>
        </w:rPr>
        <w:t>passes a resolution or makes a determination for it to be wound up (without a declaration of solvency/except for the purposes of amalgamation or reconstruction); or</w:t>
      </w:r>
    </w:p>
    <w:p w14:paraId="20AD17A5" w14:textId="77777777" w:rsidR="00B06F19" w:rsidRDefault="009A2766">
      <w:pPr>
        <w:pStyle w:val="Heading3"/>
        <w:rPr>
          <w:rFonts w:ascii="Arial" w:hAnsi="Arial" w:cs="Arial"/>
          <w:sz w:val="20"/>
        </w:rPr>
      </w:pPr>
      <w:r>
        <w:rPr>
          <w:rFonts w:ascii="Arial" w:hAnsi="Arial" w:cs="Arial"/>
          <w:sz w:val="20"/>
        </w:rPr>
        <w:t>the other party has a winding-up order or bankruptcy order made against it; or</w:t>
      </w:r>
    </w:p>
    <w:p w14:paraId="2B70DF46" w14:textId="77777777" w:rsidR="00B06F19" w:rsidRDefault="009A2766">
      <w:pPr>
        <w:pStyle w:val="Heading3"/>
        <w:rPr>
          <w:rFonts w:ascii="Arial" w:hAnsi="Arial" w:cs="Arial"/>
          <w:sz w:val="20"/>
        </w:rPr>
      </w:pPr>
      <w:r>
        <w:rPr>
          <w:rFonts w:ascii="Arial" w:hAnsi="Arial" w:cs="Arial"/>
          <w:sz w:val="20"/>
        </w:rPr>
        <w:t>the other pa</w:t>
      </w:r>
      <w:r>
        <w:rPr>
          <w:rFonts w:ascii="Arial" w:hAnsi="Arial" w:cs="Arial"/>
          <w:sz w:val="20"/>
        </w:rPr>
        <w:t>rty has appointed to it an administrator or administrative receiver; or</w:t>
      </w:r>
    </w:p>
    <w:p w14:paraId="24323B1A" w14:textId="77777777" w:rsidR="00B06F19" w:rsidRDefault="009A2766">
      <w:pPr>
        <w:pStyle w:val="Heading3"/>
        <w:rPr>
          <w:rFonts w:ascii="Arial" w:hAnsi="Arial" w:cs="Arial"/>
          <w:sz w:val="20"/>
        </w:rPr>
      </w:pPr>
      <w:bookmarkStart w:id="94" w:name="_Ref529277682"/>
      <w:r>
        <w:rPr>
          <w:rFonts w:ascii="Arial" w:hAnsi="Arial" w:cs="Arial"/>
          <w:sz w:val="20"/>
        </w:rPr>
        <w:t>the other party, if it is a partnership, in addition to the above, suffers bankruptcy orders being made against all of its partners; or</w:t>
      </w:r>
      <w:bookmarkEnd w:id="94"/>
    </w:p>
    <w:p w14:paraId="3612108A" w14:textId="77777777" w:rsidR="00B06F19" w:rsidRDefault="009A2766">
      <w:pPr>
        <w:pStyle w:val="Heading3"/>
        <w:rPr>
          <w:rFonts w:ascii="Arial" w:hAnsi="Arial" w:cs="Arial"/>
          <w:sz w:val="20"/>
        </w:rPr>
      </w:pPr>
      <w:r>
        <w:rPr>
          <w:rFonts w:ascii="Arial" w:hAnsi="Arial" w:cs="Arial"/>
          <w:sz w:val="20"/>
        </w:rPr>
        <w:t>the other party suffers any event or step analog</w:t>
      </w:r>
      <w:r>
        <w:rPr>
          <w:rFonts w:ascii="Arial" w:hAnsi="Arial" w:cs="Arial"/>
          <w:sz w:val="20"/>
        </w:rPr>
        <w:t>ous to the events or steps set out in clauses </w:t>
      </w:r>
      <w:r>
        <w:rPr>
          <w:rFonts w:ascii="Arial" w:hAnsi="Arial" w:cs="Arial"/>
          <w:sz w:val="20"/>
        </w:rPr>
        <w:fldChar w:fldCharType="begin"/>
      </w:r>
      <w:r>
        <w:rPr>
          <w:rFonts w:ascii="Arial" w:hAnsi="Arial" w:cs="Arial"/>
          <w:sz w:val="20"/>
        </w:rPr>
        <w:instrText xml:space="preserve"> REF _Ref529277669 \r \h  \* MERGEFORMAT </w:instrText>
      </w:r>
      <w:r>
        <w:rPr>
          <w:rFonts w:ascii="Arial" w:hAnsi="Arial" w:cs="Arial"/>
          <w:sz w:val="20"/>
        </w:rPr>
      </w:r>
      <w:r>
        <w:rPr>
          <w:rFonts w:ascii="Arial" w:hAnsi="Arial" w:cs="Arial"/>
          <w:sz w:val="20"/>
        </w:rPr>
        <w:fldChar w:fldCharType="separate"/>
      </w:r>
      <w:r>
        <w:rPr>
          <w:rFonts w:ascii="Arial" w:hAnsi="Arial" w:cs="Arial"/>
          <w:sz w:val="20"/>
        </w:rPr>
        <w:t>12.1.2</w:t>
      </w:r>
      <w:r>
        <w:rPr>
          <w:rFonts w:ascii="Arial" w:hAnsi="Arial" w:cs="Arial"/>
          <w:sz w:val="20"/>
        </w:rPr>
        <w:fldChar w:fldCharType="end"/>
      </w:r>
      <w:r>
        <w:rPr>
          <w:rFonts w:ascii="Arial" w:hAnsi="Arial" w:cs="Arial"/>
          <w:sz w:val="20"/>
        </w:rPr>
        <w:t xml:space="preserve"> to </w:t>
      </w:r>
      <w:r>
        <w:rPr>
          <w:rFonts w:ascii="Arial" w:hAnsi="Arial" w:cs="Arial"/>
          <w:sz w:val="20"/>
        </w:rPr>
        <w:fldChar w:fldCharType="begin"/>
      </w:r>
      <w:r>
        <w:rPr>
          <w:rFonts w:ascii="Arial" w:hAnsi="Arial" w:cs="Arial"/>
          <w:sz w:val="20"/>
        </w:rPr>
        <w:instrText xml:space="preserve"> REF _Ref529277682 \r \h  \* MERGEFORMAT </w:instrText>
      </w:r>
      <w:r>
        <w:rPr>
          <w:rFonts w:ascii="Arial" w:hAnsi="Arial" w:cs="Arial"/>
          <w:sz w:val="20"/>
        </w:rPr>
      </w:r>
      <w:r>
        <w:rPr>
          <w:rFonts w:ascii="Arial" w:hAnsi="Arial" w:cs="Arial"/>
          <w:sz w:val="20"/>
        </w:rPr>
        <w:fldChar w:fldCharType="separate"/>
      </w:r>
      <w:r>
        <w:rPr>
          <w:rFonts w:ascii="Arial" w:hAnsi="Arial" w:cs="Arial"/>
          <w:sz w:val="20"/>
        </w:rPr>
        <w:t>12.1.7</w:t>
      </w:r>
      <w:r>
        <w:rPr>
          <w:rFonts w:ascii="Arial" w:hAnsi="Arial" w:cs="Arial"/>
          <w:sz w:val="20"/>
        </w:rPr>
        <w:fldChar w:fldCharType="end"/>
      </w:r>
      <w:r>
        <w:rPr>
          <w:rFonts w:ascii="Arial" w:hAnsi="Arial" w:cs="Arial"/>
          <w:sz w:val="20"/>
        </w:rPr>
        <w:t xml:space="preserve"> (inclusive) in any jurisdiction other than England and Wales.</w:t>
      </w:r>
      <w:bookmarkEnd w:id="93"/>
    </w:p>
    <w:p w14:paraId="6E114B88" w14:textId="77777777" w:rsidR="00B06F19" w:rsidRDefault="009A2766">
      <w:pPr>
        <w:pStyle w:val="Heading1"/>
      </w:pPr>
      <w:bookmarkStart w:id="95" w:name="_Ref400116103"/>
      <w:bookmarkStart w:id="96" w:name="_Toc422303979"/>
      <w:bookmarkStart w:id="97" w:name="_Toc8389573"/>
      <w:r>
        <w:lastRenderedPageBreak/>
        <w:t>CONSEQUENCES OF TERMINATION</w:t>
      </w:r>
      <w:bookmarkEnd w:id="95"/>
      <w:bookmarkEnd w:id="96"/>
      <w:bookmarkEnd w:id="97"/>
    </w:p>
    <w:p w14:paraId="288B9299" w14:textId="77777777" w:rsidR="00B06F19" w:rsidRDefault="009A2766">
      <w:pPr>
        <w:pStyle w:val="Heading2"/>
        <w:keepNext/>
        <w:rPr>
          <w:rFonts w:ascii="Arial" w:hAnsi="Arial" w:cs="Arial"/>
          <w:sz w:val="20"/>
        </w:rPr>
      </w:pPr>
      <w:r>
        <w:rPr>
          <w:rFonts w:ascii="Arial" w:hAnsi="Arial" w:cs="Arial"/>
          <w:sz w:val="20"/>
        </w:rPr>
        <w:t>Termination or expiry of this Agreement, howsoever caused, shall not prejudice any obligations or rights or remedies of either of the parties w</w:t>
      </w:r>
      <w:r>
        <w:rPr>
          <w:rFonts w:ascii="Arial" w:hAnsi="Arial" w:cs="Arial"/>
          <w:sz w:val="20"/>
        </w:rPr>
        <w:t xml:space="preserve">hich have accrued before termination or expiry and shall not affect any provision of this Agreement which is expressly, or by implication, intended to come into effect on, or to continue in effect after, such termination or expiry. </w:t>
      </w:r>
    </w:p>
    <w:p w14:paraId="0D83CA88" w14:textId="77777777" w:rsidR="00B06F19" w:rsidRDefault="009A2766">
      <w:pPr>
        <w:pStyle w:val="Heading2"/>
        <w:rPr>
          <w:rFonts w:ascii="Arial" w:hAnsi="Arial" w:cs="Arial"/>
          <w:sz w:val="20"/>
        </w:rPr>
      </w:pPr>
      <w:bookmarkStart w:id="98" w:name="_Ref400117266"/>
      <w:r>
        <w:rPr>
          <w:rFonts w:ascii="Arial" w:hAnsi="Arial" w:cs="Arial"/>
          <w:sz w:val="20"/>
        </w:rPr>
        <w:t>Upon the termination or</w:t>
      </w:r>
      <w:r>
        <w:rPr>
          <w:rFonts w:ascii="Arial" w:hAnsi="Arial" w:cs="Arial"/>
          <w:sz w:val="20"/>
        </w:rPr>
        <w:t xml:space="preserve"> expiry of this Agreement all undisputed sums owing by either party to the other shall become immediately due and payable.</w:t>
      </w:r>
      <w:bookmarkEnd w:id="98"/>
    </w:p>
    <w:p w14:paraId="13FD79CF" w14:textId="77777777" w:rsidR="00B06F19" w:rsidRDefault="009A2766">
      <w:pPr>
        <w:pStyle w:val="Heading1"/>
      </w:pPr>
      <w:bookmarkStart w:id="99" w:name="_Toc422304008"/>
      <w:bookmarkStart w:id="100" w:name="_Toc8389574"/>
      <w:r>
        <w:t>LIMITATION OF LIABILITY</w:t>
      </w:r>
      <w:bookmarkEnd w:id="99"/>
      <w:bookmarkEnd w:id="100"/>
    </w:p>
    <w:p w14:paraId="7E36A8BA" w14:textId="77777777" w:rsidR="00B06F19" w:rsidRDefault="009A2766">
      <w:pPr>
        <w:pStyle w:val="Heading2"/>
        <w:rPr>
          <w:rFonts w:ascii="Arial" w:hAnsi="Arial" w:cs="Arial"/>
          <w:sz w:val="20"/>
        </w:rPr>
      </w:pPr>
      <w:r>
        <w:rPr>
          <w:rFonts w:ascii="Arial" w:hAnsi="Arial" w:cs="Arial"/>
          <w:sz w:val="20"/>
        </w:rPr>
        <w:t>Subject to subclause </w:t>
      </w:r>
      <w:r>
        <w:rPr>
          <w:rFonts w:ascii="Arial" w:hAnsi="Arial" w:cs="Arial"/>
          <w:sz w:val="20"/>
        </w:rPr>
        <w:fldChar w:fldCharType="begin"/>
      </w:r>
      <w:r>
        <w:rPr>
          <w:rFonts w:ascii="Arial" w:hAnsi="Arial" w:cs="Arial"/>
          <w:sz w:val="20"/>
        </w:rPr>
        <w:instrText xml:space="preserve"> REF _cd6a5f26-93c4-4f82-9ef2-99b899869472  \d " " \h \n   \* MERGEFORMAT </w:instrText>
      </w:r>
      <w:r>
        <w:rPr>
          <w:rFonts w:ascii="Arial" w:hAnsi="Arial" w:cs="Arial"/>
          <w:sz w:val="20"/>
        </w:rPr>
      </w:r>
      <w:r>
        <w:rPr>
          <w:rFonts w:ascii="Arial" w:hAnsi="Arial" w:cs="Arial"/>
          <w:sz w:val="20"/>
        </w:rPr>
        <w:fldChar w:fldCharType="separate"/>
      </w:r>
      <w:r>
        <w:rPr>
          <w:rFonts w:ascii="Arial" w:hAnsi="Arial" w:cs="Arial"/>
          <w:sz w:val="20"/>
        </w:rPr>
        <w:t>14.2</w:t>
      </w:r>
      <w:r>
        <w:rPr>
          <w:rFonts w:ascii="Arial" w:hAnsi="Arial" w:cs="Arial"/>
          <w:sz w:val="20"/>
        </w:rPr>
        <w:fldChar w:fldCharType="end"/>
      </w:r>
      <w:r>
        <w:rPr>
          <w:rFonts w:ascii="Arial" w:hAnsi="Arial" w:cs="Arial"/>
          <w:sz w:val="20"/>
        </w:rPr>
        <w:t>, under no circumstances shall either party be liable to the other party for any of the following types of loss or damage arising under or in relation to this Agreement (whet</w:t>
      </w:r>
      <w:r>
        <w:rPr>
          <w:rFonts w:ascii="Arial" w:hAnsi="Arial" w:cs="Arial"/>
          <w:sz w:val="20"/>
        </w:rPr>
        <w:t>her arising for breach of contract (including under any indemnity), misrepresentation (whether tortuous or statutory), tort (including negligence), breach of statutory duty, warranty, strict liability or any other legal theory howsoever arising):</w:t>
      </w:r>
      <w:bookmarkStart w:id="101" w:name="_5a725d56-255a-427d-8736-615af3a939b1"/>
      <w:bookmarkEnd w:id="101"/>
    </w:p>
    <w:p w14:paraId="11F3E00F" w14:textId="77777777" w:rsidR="00B06F19" w:rsidRDefault="009A2766">
      <w:pPr>
        <w:pStyle w:val="Heading3"/>
        <w:rPr>
          <w:rFonts w:ascii="Arial" w:hAnsi="Arial" w:cs="Arial"/>
          <w:sz w:val="20"/>
        </w:rPr>
      </w:pPr>
      <w:r>
        <w:rPr>
          <w:rFonts w:ascii="Arial" w:hAnsi="Arial" w:cs="Arial"/>
          <w:sz w:val="20"/>
        </w:rPr>
        <w:t xml:space="preserve">any loss </w:t>
      </w:r>
      <w:r>
        <w:rPr>
          <w:rFonts w:ascii="Arial" w:hAnsi="Arial" w:cs="Arial"/>
          <w:sz w:val="20"/>
        </w:rPr>
        <w:t>of profits, business, contracts, anticipated savings, goodwill, or revenue, any wasted expenditure, regardless of whether any of these types of loss or damage are direct, indirect or consequential; or</w:t>
      </w:r>
      <w:bookmarkStart w:id="102" w:name="_9d60a44c-2d49-4c45-be71-93e6670d94fb"/>
      <w:bookmarkEnd w:id="102"/>
    </w:p>
    <w:p w14:paraId="53E755EC" w14:textId="77777777" w:rsidR="00B06F19" w:rsidRDefault="009A2766">
      <w:pPr>
        <w:pStyle w:val="Heading3"/>
        <w:rPr>
          <w:rFonts w:ascii="Arial" w:hAnsi="Arial" w:cs="Arial"/>
          <w:sz w:val="20"/>
        </w:rPr>
      </w:pPr>
      <w:r>
        <w:rPr>
          <w:rFonts w:ascii="Arial" w:hAnsi="Arial" w:cs="Arial"/>
          <w:sz w:val="20"/>
        </w:rPr>
        <w:t>any indirect or consequential loss or damage whatsoever</w:t>
      </w:r>
      <w:r>
        <w:rPr>
          <w:rFonts w:ascii="Arial" w:hAnsi="Arial" w:cs="Arial"/>
          <w:sz w:val="20"/>
        </w:rPr>
        <w:t>, even if that party was aware of the possibility that such loss or damage might be incurred by the other.</w:t>
      </w:r>
      <w:bookmarkStart w:id="103" w:name="_a4641ab3-6a2a-4e0e-af85-8d909075b53e"/>
      <w:bookmarkEnd w:id="103"/>
    </w:p>
    <w:p w14:paraId="6CD81A98" w14:textId="77777777" w:rsidR="00B06F19" w:rsidRDefault="009A2766">
      <w:pPr>
        <w:pStyle w:val="Heading2"/>
        <w:rPr>
          <w:rFonts w:ascii="Arial" w:hAnsi="Arial" w:cs="Arial"/>
          <w:sz w:val="20"/>
        </w:rPr>
      </w:pPr>
      <w:r>
        <w:rPr>
          <w:rFonts w:ascii="Arial" w:hAnsi="Arial" w:cs="Arial"/>
          <w:sz w:val="20"/>
        </w:rPr>
        <w:t>Notwithstanding the above, neither party excludes or limits any liability for:</w:t>
      </w:r>
      <w:bookmarkStart w:id="104" w:name="_cd6a5f26-93c4-4f82-9ef2-99b899869472"/>
      <w:bookmarkEnd w:id="104"/>
    </w:p>
    <w:p w14:paraId="39812D95" w14:textId="77777777" w:rsidR="00B06F19" w:rsidRDefault="009A2766">
      <w:pPr>
        <w:pStyle w:val="Heading3"/>
        <w:rPr>
          <w:rFonts w:ascii="Arial" w:hAnsi="Arial" w:cs="Arial"/>
          <w:sz w:val="20"/>
        </w:rPr>
      </w:pPr>
      <w:r>
        <w:rPr>
          <w:rFonts w:ascii="Arial" w:hAnsi="Arial" w:cs="Arial"/>
          <w:sz w:val="20"/>
        </w:rPr>
        <w:t>personal injury (including sickness and death) to the extent that such</w:t>
      </w:r>
      <w:r>
        <w:rPr>
          <w:rFonts w:ascii="Arial" w:hAnsi="Arial" w:cs="Arial"/>
          <w:sz w:val="20"/>
        </w:rPr>
        <w:t xml:space="preserve"> injury results from the negligence or wilful default of a party or its employees; or</w:t>
      </w:r>
      <w:bookmarkStart w:id="105" w:name="_6d8af205-db1a-43fc-9b37-a5cb7421007b"/>
      <w:bookmarkEnd w:id="105"/>
    </w:p>
    <w:p w14:paraId="2BBE8A6B" w14:textId="77777777" w:rsidR="00B06F19" w:rsidRDefault="009A2766">
      <w:pPr>
        <w:pStyle w:val="Heading3"/>
        <w:rPr>
          <w:rFonts w:ascii="Arial" w:hAnsi="Arial" w:cs="Arial"/>
          <w:sz w:val="20"/>
        </w:rPr>
      </w:pPr>
      <w:r>
        <w:rPr>
          <w:rFonts w:ascii="Arial" w:hAnsi="Arial" w:cs="Arial"/>
          <w:sz w:val="20"/>
        </w:rPr>
        <w:t>fraud, fraudulent misrepresentation or fraudulent concealment; or</w:t>
      </w:r>
      <w:bookmarkStart w:id="106" w:name="_d0964ee2-a4d9-4e83-9977-aeee4aa93911"/>
      <w:bookmarkEnd w:id="106"/>
    </w:p>
    <w:p w14:paraId="47D0E3D1" w14:textId="77777777" w:rsidR="00B06F19" w:rsidRDefault="009A2766">
      <w:pPr>
        <w:pStyle w:val="Heading3"/>
        <w:rPr>
          <w:rFonts w:ascii="Arial" w:hAnsi="Arial" w:cs="Arial"/>
          <w:sz w:val="20"/>
        </w:rPr>
      </w:pPr>
      <w:r>
        <w:rPr>
          <w:rFonts w:ascii="Arial" w:hAnsi="Arial" w:cs="Arial"/>
          <w:sz w:val="20"/>
        </w:rPr>
        <w:t xml:space="preserve">the Data Protection Losses; or </w:t>
      </w:r>
    </w:p>
    <w:p w14:paraId="33C0A490" w14:textId="77777777" w:rsidR="00B06F19" w:rsidRDefault="009A2766">
      <w:pPr>
        <w:pStyle w:val="Heading3"/>
        <w:rPr>
          <w:rFonts w:ascii="Arial" w:hAnsi="Arial" w:cs="Arial"/>
          <w:sz w:val="20"/>
        </w:rPr>
      </w:pPr>
      <w:r>
        <w:rPr>
          <w:rFonts w:ascii="Arial" w:hAnsi="Arial" w:cs="Arial"/>
          <w:sz w:val="20"/>
        </w:rPr>
        <w:t xml:space="preserve">any other liability to the extent it cannot be excluded or </w:t>
      </w:r>
      <w:r>
        <w:rPr>
          <w:rFonts w:ascii="Arial" w:hAnsi="Arial" w:cs="Arial"/>
          <w:sz w:val="20"/>
        </w:rPr>
        <w:t>limited by law</w:t>
      </w:r>
      <w:bookmarkStart w:id="107" w:name="_23a77f95-2610-4b40-8c69-e984c7f29343"/>
      <w:bookmarkEnd w:id="107"/>
      <w:r>
        <w:rPr>
          <w:rFonts w:ascii="Arial" w:hAnsi="Arial" w:cs="Arial"/>
          <w:sz w:val="20"/>
        </w:rPr>
        <w:t>.</w:t>
      </w:r>
    </w:p>
    <w:p w14:paraId="007607C6" w14:textId="77777777" w:rsidR="00B06F19" w:rsidRDefault="009A2766">
      <w:pPr>
        <w:pStyle w:val="Heading1"/>
      </w:pPr>
      <w:bookmarkStart w:id="108" w:name="_Toc1570493"/>
      <w:bookmarkStart w:id="109" w:name="_Ref400116135"/>
      <w:bookmarkStart w:id="110" w:name="_Toc422303981"/>
      <w:bookmarkStart w:id="111" w:name="_Toc8389575"/>
      <w:bookmarkEnd w:id="108"/>
      <w:r>
        <w:t>FORCE MAJEURE</w:t>
      </w:r>
      <w:bookmarkEnd w:id="109"/>
      <w:bookmarkEnd w:id="110"/>
      <w:bookmarkEnd w:id="111"/>
    </w:p>
    <w:p w14:paraId="4B14FA24" w14:textId="77777777" w:rsidR="00B06F19" w:rsidRDefault="009A2766">
      <w:pPr>
        <w:pStyle w:val="Heading2"/>
        <w:rPr>
          <w:rFonts w:ascii="Arial" w:hAnsi="Arial" w:cs="Arial"/>
          <w:sz w:val="20"/>
        </w:rPr>
      </w:pPr>
      <w:r>
        <w:rPr>
          <w:rFonts w:ascii="Arial" w:hAnsi="Arial" w:cs="Arial"/>
          <w:sz w:val="20"/>
        </w:rPr>
        <w:t>Subject to compliance with clauses </w:t>
      </w:r>
      <w:r>
        <w:rPr>
          <w:rFonts w:ascii="Arial" w:hAnsi="Arial" w:cs="Arial"/>
          <w:sz w:val="20"/>
        </w:rPr>
        <w:fldChar w:fldCharType="begin"/>
      </w:r>
      <w:r>
        <w:rPr>
          <w:rFonts w:ascii="Arial" w:hAnsi="Arial" w:cs="Arial"/>
          <w:sz w:val="20"/>
        </w:rPr>
        <w:instrText xml:space="preserve"> REF _Ref259173744 \r \h  \* MERGEFORMAT </w:instrText>
      </w:r>
      <w:r>
        <w:rPr>
          <w:rFonts w:ascii="Arial" w:hAnsi="Arial" w:cs="Arial"/>
          <w:sz w:val="20"/>
        </w:rPr>
      </w:r>
      <w:r>
        <w:rPr>
          <w:rFonts w:ascii="Arial" w:hAnsi="Arial" w:cs="Arial"/>
          <w:sz w:val="20"/>
        </w:rPr>
        <w:fldChar w:fldCharType="separate"/>
      </w:r>
      <w:r>
        <w:rPr>
          <w:rFonts w:ascii="Arial" w:hAnsi="Arial" w:cs="Arial"/>
          <w:sz w:val="20"/>
        </w:rPr>
        <w:t>15.2</w:t>
      </w:r>
      <w:r>
        <w:rPr>
          <w:rFonts w:ascii="Arial" w:hAnsi="Arial" w:cs="Arial"/>
          <w:sz w:val="20"/>
        </w:rPr>
        <w:fldChar w:fldCharType="end"/>
      </w:r>
      <w:r>
        <w:rPr>
          <w:rFonts w:ascii="Arial" w:hAnsi="Arial" w:cs="Arial"/>
          <w:sz w:val="20"/>
        </w:rPr>
        <w:t xml:space="preserve"> and </w:t>
      </w:r>
      <w:r>
        <w:rPr>
          <w:rFonts w:ascii="Arial" w:hAnsi="Arial" w:cs="Arial"/>
          <w:sz w:val="20"/>
        </w:rPr>
        <w:fldChar w:fldCharType="begin"/>
      </w:r>
      <w:r>
        <w:rPr>
          <w:rFonts w:ascii="Arial" w:hAnsi="Arial" w:cs="Arial"/>
          <w:sz w:val="20"/>
        </w:rPr>
        <w:instrText xml:space="preserve"> REF _Ref259173759 \r \h  \* MERGEFORMAT </w:instrText>
      </w:r>
      <w:r>
        <w:rPr>
          <w:rFonts w:ascii="Arial" w:hAnsi="Arial" w:cs="Arial"/>
          <w:sz w:val="20"/>
        </w:rPr>
      </w:r>
      <w:r>
        <w:rPr>
          <w:rFonts w:ascii="Arial" w:hAnsi="Arial" w:cs="Arial"/>
          <w:sz w:val="20"/>
        </w:rPr>
        <w:fldChar w:fldCharType="separate"/>
      </w:r>
      <w:r>
        <w:rPr>
          <w:rFonts w:ascii="Arial" w:hAnsi="Arial" w:cs="Arial"/>
          <w:sz w:val="20"/>
        </w:rPr>
        <w:t>15.3</w:t>
      </w:r>
      <w:r>
        <w:rPr>
          <w:rFonts w:ascii="Arial" w:hAnsi="Arial" w:cs="Arial"/>
          <w:sz w:val="20"/>
        </w:rPr>
        <w:fldChar w:fldCharType="end"/>
      </w:r>
      <w:r>
        <w:rPr>
          <w:rFonts w:ascii="Arial" w:hAnsi="Arial" w:cs="Arial"/>
          <w:sz w:val="20"/>
        </w:rPr>
        <w:t>, neither party shall be liable to the other for delay or non</w:t>
      </w:r>
      <w:r>
        <w:rPr>
          <w:rFonts w:ascii="Arial" w:hAnsi="Arial" w:cs="Arial"/>
          <w:sz w:val="20"/>
        </w:rPr>
        <w:noBreakHyphen/>
        <w:t xml:space="preserve">performance of its obligations under this Agreement for as long as (and only to the extent that) this is due to a Force Majeure Event.  </w:t>
      </w:r>
    </w:p>
    <w:p w14:paraId="7ECD0E4B" w14:textId="77777777" w:rsidR="00B06F19" w:rsidRDefault="009A2766">
      <w:pPr>
        <w:pStyle w:val="Heading2"/>
        <w:rPr>
          <w:rFonts w:ascii="Arial" w:hAnsi="Arial" w:cs="Arial"/>
          <w:sz w:val="20"/>
        </w:rPr>
      </w:pPr>
      <w:bookmarkStart w:id="112" w:name="_Ref259173744"/>
      <w:r>
        <w:rPr>
          <w:rFonts w:ascii="Arial" w:hAnsi="Arial" w:cs="Arial"/>
          <w:sz w:val="20"/>
        </w:rPr>
        <w:t xml:space="preserve">Where a party is </w:t>
      </w:r>
      <w:r>
        <w:rPr>
          <w:rFonts w:ascii="Arial" w:hAnsi="Arial" w:cs="Arial"/>
          <w:sz w:val="20"/>
        </w:rPr>
        <w:t>delayed or prevented from performing its obligations under this Agreement by a Force Majeure Event that party shall notify the other as soon as reasonably possible with details of the Force Majeure Event, its effect on the relevant obligations and its esti</w:t>
      </w:r>
      <w:r>
        <w:rPr>
          <w:rFonts w:ascii="Arial" w:hAnsi="Arial" w:cs="Arial"/>
          <w:sz w:val="20"/>
        </w:rPr>
        <w:t>mated duration.  The affected party shall use all reasonable endeavours to mitigate the effect of the Force Majeure Event upon the performance of its obligations under this Agreement.</w:t>
      </w:r>
      <w:bookmarkEnd w:id="112"/>
      <w:r>
        <w:rPr>
          <w:rFonts w:ascii="Arial" w:hAnsi="Arial" w:cs="Arial"/>
          <w:sz w:val="20"/>
        </w:rPr>
        <w:t xml:space="preserve">  </w:t>
      </w:r>
    </w:p>
    <w:p w14:paraId="1BAA4909" w14:textId="77777777" w:rsidR="00B06F19" w:rsidRDefault="009A2766">
      <w:pPr>
        <w:pStyle w:val="Heading2"/>
        <w:rPr>
          <w:rFonts w:ascii="Arial" w:eastAsia="Arial Unicode MS" w:hAnsi="Arial" w:cs="Arial"/>
          <w:sz w:val="20"/>
        </w:rPr>
      </w:pPr>
      <w:bookmarkStart w:id="113" w:name="_Ref259173759"/>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_Ref529279377 \r \h  \* MERGEFORMAT </w:instrText>
      </w:r>
      <w:r>
        <w:rPr>
          <w:rFonts w:ascii="Arial" w:hAnsi="Arial" w:cs="Arial"/>
          <w:sz w:val="20"/>
        </w:rPr>
      </w:r>
      <w:r>
        <w:rPr>
          <w:rFonts w:ascii="Arial" w:hAnsi="Arial" w:cs="Arial"/>
          <w:sz w:val="20"/>
        </w:rPr>
        <w:fldChar w:fldCharType="separate"/>
      </w:r>
      <w:r>
        <w:rPr>
          <w:rFonts w:ascii="Arial" w:hAnsi="Arial" w:cs="Arial"/>
          <w:sz w:val="20"/>
        </w:rPr>
        <w:t>15.4</w:t>
      </w:r>
      <w:r>
        <w:rPr>
          <w:rFonts w:ascii="Arial" w:hAnsi="Arial" w:cs="Arial"/>
          <w:sz w:val="20"/>
        </w:rPr>
        <w:fldChar w:fldCharType="end"/>
      </w:r>
      <w:r>
        <w:rPr>
          <w:rFonts w:ascii="Arial" w:hAnsi="Arial" w:cs="Arial"/>
          <w:sz w:val="20"/>
        </w:rPr>
        <w:t>, as soon as reasonably possible following the end of the Force Majeure Event, the affected party shall notify the other and this Agreement shall continue to be performed on the terms existing imm</w:t>
      </w:r>
      <w:r>
        <w:rPr>
          <w:rFonts w:ascii="Arial" w:hAnsi="Arial" w:cs="Arial"/>
          <w:sz w:val="20"/>
        </w:rPr>
        <w:t>ediately before the occurrence of the Force Majeure Event, unless agreed otherwise by the parties.</w:t>
      </w:r>
      <w:bookmarkEnd w:id="113"/>
    </w:p>
    <w:p w14:paraId="6EC0A66C" w14:textId="77777777" w:rsidR="00B06F19" w:rsidRDefault="009A2766">
      <w:pPr>
        <w:pStyle w:val="Heading2"/>
        <w:rPr>
          <w:rFonts w:ascii="Arial" w:hAnsi="Arial" w:cs="Arial"/>
          <w:sz w:val="20"/>
        </w:rPr>
      </w:pPr>
      <w:bookmarkStart w:id="114" w:name="_Ref529279377"/>
      <w:bookmarkStart w:id="115" w:name="_Ref259173789"/>
      <w:r>
        <w:rPr>
          <w:rFonts w:ascii="Arial" w:hAnsi="Arial" w:cs="Arial"/>
          <w:sz w:val="20"/>
        </w:rPr>
        <w:t>If any Force Majeure Event prevents the affected party from fulfilling its obligations under this Agreement for a continuous period of more than 7 days or an</w:t>
      </w:r>
      <w:r>
        <w:rPr>
          <w:rFonts w:ascii="Arial" w:hAnsi="Arial" w:cs="Arial"/>
          <w:sz w:val="20"/>
        </w:rPr>
        <w:t xml:space="preserve"> aggregate period of more than </w:t>
      </w:r>
      <w:r>
        <w:rPr>
          <w:rFonts w:ascii="Arial" w:hAnsi="Arial" w:cs="Arial"/>
          <w:sz w:val="20"/>
        </w:rPr>
        <w:lastRenderedPageBreak/>
        <w:t>14 days in a one month period, that affected party may terminate this Agreement by written notice with immediate effect.</w:t>
      </w:r>
      <w:bookmarkEnd w:id="114"/>
      <w:r>
        <w:rPr>
          <w:rFonts w:ascii="Arial" w:hAnsi="Arial" w:cs="Arial"/>
          <w:sz w:val="20"/>
        </w:rPr>
        <w:t xml:space="preserve"> </w:t>
      </w:r>
      <w:bookmarkEnd w:id="115"/>
      <w:r>
        <w:rPr>
          <w:rFonts w:ascii="Arial" w:hAnsi="Arial" w:cs="Arial"/>
          <w:sz w:val="20"/>
        </w:rPr>
        <w:t xml:space="preserve"> </w:t>
      </w:r>
    </w:p>
    <w:p w14:paraId="6FBD7A5D" w14:textId="77777777" w:rsidR="00B06F19" w:rsidRDefault="009A2766">
      <w:pPr>
        <w:pStyle w:val="Heading1"/>
      </w:pPr>
      <w:bookmarkStart w:id="116" w:name="_Ref414631282"/>
      <w:bookmarkStart w:id="117" w:name="_Ref420423104"/>
      <w:bookmarkStart w:id="118" w:name="_Toc422303983"/>
      <w:bookmarkStart w:id="119" w:name="_Toc8389576"/>
      <w:r>
        <w:t>NOTICES</w:t>
      </w:r>
      <w:bookmarkEnd w:id="116"/>
      <w:bookmarkEnd w:id="117"/>
      <w:bookmarkEnd w:id="118"/>
      <w:bookmarkEnd w:id="119"/>
      <w:r>
        <w:rPr>
          <w:i/>
        </w:rPr>
        <w:t xml:space="preserve"> </w:t>
      </w:r>
    </w:p>
    <w:p w14:paraId="530C28D0" w14:textId="77777777" w:rsidR="00B06F19" w:rsidRDefault="009A2766">
      <w:pPr>
        <w:pStyle w:val="Heading2"/>
        <w:rPr>
          <w:rFonts w:ascii="Arial" w:hAnsi="Arial" w:cs="Arial"/>
          <w:sz w:val="20"/>
        </w:rPr>
      </w:pPr>
      <w:r>
        <w:rPr>
          <w:rFonts w:ascii="Arial" w:hAnsi="Arial" w:cs="Arial"/>
          <w:sz w:val="20"/>
        </w:rPr>
        <w:t>Any notice to be given under this Agreement shall be in writing in the English language and s</w:t>
      </w:r>
      <w:r>
        <w:rPr>
          <w:rFonts w:ascii="Arial" w:hAnsi="Arial" w:cs="Arial"/>
          <w:sz w:val="20"/>
        </w:rPr>
        <w:t>igned by, or on behalf, of the party giving it.</w:t>
      </w:r>
    </w:p>
    <w:p w14:paraId="1486841D" w14:textId="77777777" w:rsidR="00B06F19" w:rsidRDefault="009A2766">
      <w:pPr>
        <w:pStyle w:val="Heading2"/>
        <w:keepNext/>
        <w:rPr>
          <w:rFonts w:ascii="Arial" w:hAnsi="Arial" w:cs="Arial"/>
          <w:sz w:val="20"/>
        </w:rPr>
      </w:pPr>
      <w:bookmarkStart w:id="120" w:name="_Ref400116456"/>
      <w:r>
        <w:rPr>
          <w:rFonts w:ascii="Arial" w:hAnsi="Arial" w:cs="Arial"/>
          <w:sz w:val="20"/>
        </w:rPr>
        <w:t>Addresses:</w:t>
      </w:r>
    </w:p>
    <w:p w14:paraId="07870A21" w14:textId="77777777" w:rsidR="00B06F19" w:rsidRDefault="009A2766">
      <w:pPr>
        <w:pStyle w:val="Heading2"/>
        <w:numPr>
          <w:ilvl w:val="0"/>
          <w:numId w:val="0"/>
        </w:numPr>
        <w:ind w:left="720"/>
        <w:rPr>
          <w:rFonts w:ascii="Arial" w:hAnsi="Arial" w:cs="Arial"/>
          <w:sz w:val="20"/>
        </w:rPr>
      </w:pPr>
      <w:r>
        <w:rPr>
          <w:rFonts w:ascii="Arial" w:hAnsi="Arial" w:cs="Arial"/>
          <w:sz w:val="20"/>
        </w:rPr>
        <w:t>Notices shall be delivered to the recipient and address set out in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847"/>
        <w:gridCol w:w="2847"/>
      </w:tblGrid>
      <w:tr w:rsidR="00B06F19" w14:paraId="5F3E18F6" w14:textId="77777777">
        <w:tc>
          <w:tcPr>
            <w:tcW w:w="2825" w:type="dxa"/>
            <w:shd w:val="pct5" w:color="auto" w:fill="auto"/>
          </w:tcPr>
          <w:p w14:paraId="629C534D" w14:textId="77777777" w:rsidR="00B06F19" w:rsidRDefault="00B06F19">
            <w:pPr>
              <w:pStyle w:val="Heading2"/>
              <w:numPr>
                <w:ilvl w:val="0"/>
                <w:numId w:val="0"/>
              </w:numPr>
              <w:overflowPunct w:val="0"/>
              <w:autoSpaceDE w:val="0"/>
              <w:autoSpaceDN w:val="0"/>
              <w:spacing w:before="120" w:after="120"/>
              <w:textAlignment w:val="baseline"/>
              <w:rPr>
                <w:rFonts w:ascii="Arial" w:hAnsi="Arial" w:cs="Arial"/>
                <w:b/>
                <w:sz w:val="20"/>
              </w:rPr>
            </w:pPr>
          </w:p>
        </w:tc>
        <w:tc>
          <w:tcPr>
            <w:tcW w:w="2850" w:type="dxa"/>
            <w:shd w:val="pct5" w:color="auto" w:fill="auto"/>
          </w:tcPr>
          <w:p w14:paraId="22349D79" w14:textId="77777777" w:rsidR="00B06F19" w:rsidRDefault="009A2766">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Provider Supplier</w:t>
            </w:r>
          </w:p>
        </w:tc>
        <w:tc>
          <w:tcPr>
            <w:tcW w:w="2850" w:type="dxa"/>
            <w:shd w:val="pct5" w:color="auto" w:fill="auto"/>
          </w:tcPr>
          <w:p w14:paraId="5789DF08" w14:textId="77777777" w:rsidR="00B06F19" w:rsidRDefault="009A2766">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Consumer Supplier</w:t>
            </w:r>
          </w:p>
        </w:tc>
      </w:tr>
      <w:tr w:rsidR="00B06F19" w14:paraId="48FC7D05" w14:textId="77777777">
        <w:tc>
          <w:tcPr>
            <w:tcW w:w="2825" w:type="dxa"/>
            <w:shd w:val="clear" w:color="auto" w:fill="auto"/>
          </w:tcPr>
          <w:p w14:paraId="6C507426" w14:textId="77777777" w:rsidR="00B06F19" w:rsidRDefault="009A2766">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Email</w:t>
            </w:r>
          </w:p>
        </w:tc>
        <w:tc>
          <w:tcPr>
            <w:tcW w:w="2850" w:type="dxa"/>
            <w:shd w:val="clear" w:color="auto" w:fill="auto"/>
          </w:tcPr>
          <w:p w14:paraId="6584CD63" w14:textId="77777777" w:rsidR="00B06F19" w:rsidRDefault="00B06F19">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32C84B46" w14:textId="77777777" w:rsidR="00B06F19" w:rsidRDefault="00B06F19">
            <w:pPr>
              <w:pStyle w:val="Heading2"/>
              <w:numPr>
                <w:ilvl w:val="0"/>
                <w:numId w:val="0"/>
              </w:numPr>
              <w:overflowPunct w:val="0"/>
              <w:autoSpaceDE w:val="0"/>
              <w:autoSpaceDN w:val="0"/>
              <w:spacing w:before="120" w:after="120"/>
              <w:textAlignment w:val="baseline"/>
              <w:rPr>
                <w:rFonts w:ascii="Arial" w:hAnsi="Arial" w:cs="Arial"/>
                <w:sz w:val="20"/>
              </w:rPr>
            </w:pPr>
          </w:p>
        </w:tc>
      </w:tr>
      <w:tr w:rsidR="00B06F19" w14:paraId="00653CC2" w14:textId="77777777">
        <w:tc>
          <w:tcPr>
            <w:tcW w:w="2825" w:type="dxa"/>
            <w:shd w:val="clear" w:color="auto" w:fill="auto"/>
          </w:tcPr>
          <w:p w14:paraId="1954F253" w14:textId="77777777" w:rsidR="00B06F19" w:rsidRDefault="009A2766">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Postal Address</w:t>
            </w:r>
          </w:p>
        </w:tc>
        <w:tc>
          <w:tcPr>
            <w:tcW w:w="2850" w:type="dxa"/>
            <w:shd w:val="clear" w:color="auto" w:fill="auto"/>
          </w:tcPr>
          <w:p w14:paraId="6AE114E5" w14:textId="77777777" w:rsidR="00B06F19" w:rsidRDefault="00B06F19">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57EB7E9D" w14:textId="77777777" w:rsidR="00B06F19" w:rsidRDefault="00B06F19">
            <w:pPr>
              <w:pStyle w:val="Heading2"/>
              <w:numPr>
                <w:ilvl w:val="0"/>
                <w:numId w:val="0"/>
              </w:numPr>
              <w:overflowPunct w:val="0"/>
              <w:autoSpaceDE w:val="0"/>
              <w:autoSpaceDN w:val="0"/>
              <w:spacing w:before="120" w:after="120"/>
              <w:textAlignment w:val="baseline"/>
              <w:rPr>
                <w:rFonts w:ascii="Arial" w:hAnsi="Arial" w:cs="Arial"/>
                <w:sz w:val="20"/>
              </w:rPr>
            </w:pPr>
          </w:p>
        </w:tc>
      </w:tr>
      <w:tr w:rsidR="00B06F19" w14:paraId="032ABA7E" w14:textId="77777777">
        <w:tc>
          <w:tcPr>
            <w:tcW w:w="2825" w:type="dxa"/>
            <w:shd w:val="clear" w:color="auto" w:fill="auto"/>
          </w:tcPr>
          <w:p w14:paraId="46D88B49" w14:textId="77777777" w:rsidR="00B06F19" w:rsidRDefault="009A2766">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For the attention of</w:t>
            </w:r>
          </w:p>
        </w:tc>
        <w:tc>
          <w:tcPr>
            <w:tcW w:w="2850" w:type="dxa"/>
            <w:shd w:val="clear" w:color="auto" w:fill="auto"/>
          </w:tcPr>
          <w:p w14:paraId="7C643AD2" w14:textId="77777777" w:rsidR="00B06F19" w:rsidRDefault="009A2766">
            <w:pPr>
              <w:pStyle w:val="Heading2"/>
              <w:numPr>
                <w:ilvl w:val="0"/>
                <w:numId w:val="0"/>
              </w:numPr>
              <w:overflowPunct w:val="0"/>
              <w:autoSpaceDE w:val="0"/>
              <w:autoSpaceDN w:val="0"/>
              <w:spacing w:before="120" w:after="120"/>
              <w:textAlignment w:val="baseline"/>
              <w:rPr>
                <w:rFonts w:ascii="Arial" w:hAnsi="Arial" w:cs="Arial"/>
                <w:i/>
                <w:sz w:val="20"/>
              </w:rPr>
            </w:pPr>
            <w:r>
              <w:rPr>
                <w:rFonts w:ascii="Arial" w:hAnsi="Arial" w:cs="Arial"/>
                <w:i/>
                <w:sz w:val="20"/>
              </w:rPr>
              <w:t xml:space="preserve">[insert job title </w:t>
            </w:r>
            <w:r>
              <w:rPr>
                <w:rFonts w:ascii="Arial" w:hAnsi="Arial" w:cs="Arial"/>
                <w:i/>
                <w:sz w:val="20"/>
              </w:rPr>
              <w:t>instead of / in addition to an individual's  name]</w:t>
            </w:r>
          </w:p>
        </w:tc>
        <w:tc>
          <w:tcPr>
            <w:tcW w:w="2850" w:type="dxa"/>
            <w:shd w:val="clear" w:color="auto" w:fill="auto"/>
          </w:tcPr>
          <w:p w14:paraId="2C318792" w14:textId="77777777" w:rsidR="00B06F19" w:rsidRDefault="009A2766">
            <w:pPr>
              <w:pStyle w:val="Heading2"/>
              <w:numPr>
                <w:ilvl w:val="0"/>
                <w:numId w:val="0"/>
              </w:numPr>
              <w:overflowPunct w:val="0"/>
              <w:autoSpaceDE w:val="0"/>
              <w:autoSpaceDN w:val="0"/>
              <w:spacing w:before="120" w:after="120"/>
              <w:textAlignment w:val="baseline"/>
              <w:rPr>
                <w:rFonts w:ascii="Arial" w:hAnsi="Arial" w:cs="Arial"/>
                <w:sz w:val="20"/>
              </w:rPr>
            </w:pPr>
            <w:r>
              <w:rPr>
                <w:rFonts w:ascii="Arial" w:hAnsi="Arial" w:cs="Arial"/>
                <w:i/>
                <w:sz w:val="20"/>
              </w:rPr>
              <w:t>[insert job title instead of / in addition to an individual's  name]</w:t>
            </w:r>
          </w:p>
        </w:tc>
      </w:tr>
    </w:tbl>
    <w:p w14:paraId="19412E12" w14:textId="77777777" w:rsidR="00B06F19" w:rsidRDefault="00B06F19">
      <w:pPr>
        <w:pStyle w:val="Table-followingparagraph"/>
      </w:pPr>
    </w:p>
    <w:bookmarkEnd w:id="120"/>
    <w:p w14:paraId="74912827" w14:textId="77777777" w:rsidR="00B06F19" w:rsidRDefault="009A2766">
      <w:pPr>
        <w:pStyle w:val="Heading2"/>
        <w:keepNext/>
        <w:rPr>
          <w:rFonts w:ascii="Arial" w:hAnsi="Arial" w:cs="Arial"/>
          <w:sz w:val="20"/>
        </w:rPr>
      </w:pPr>
      <w:r>
        <w:rPr>
          <w:rFonts w:ascii="Arial" w:hAnsi="Arial" w:cs="Arial"/>
          <w:sz w:val="20"/>
        </w:rPr>
        <w:t>Delivery:</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150"/>
        <w:gridCol w:w="2610"/>
      </w:tblGrid>
      <w:tr w:rsidR="00B06F19" w14:paraId="24278BC1" w14:textId="77777777">
        <w:tc>
          <w:tcPr>
            <w:tcW w:w="2718" w:type="dxa"/>
            <w:shd w:val="pct5" w:color="auto" w:fill="auto"/>
          </w:tcPr>
          <w:p w14:paraId="7FBE592C"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Manner of Delivery</w:t>
            </w:r>
          </w:p>
        </w:tc>
        <w:tc>
          <w:tcPr>
            <w:tcW w:w="3150" w:type="dxa"/>
            <w:shd w:val="pct5" w:color="auto" w:fill="auto"/>
          </w:tcPr>
          <w:p w14:paraId="446FFAAD" w14:textId="77777777" w:rsidR="00B06F19" w:rsidRDefault="009A2766">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Deemed time of delivery</w:t>
            </w:r>
          </w:p>
        </w:tc>
        <w:tc>
          <w:tcPr>
            <w:tcW w:w="2610" w:type="dxa"/>
            <w:shd w:val="pct5" w:color="auto" w:fill="auto"/>
          </w:tcPr>
          <w:p w14:paraId="16F084E9" w14:textId="77777777" w:rsidR="00B06F19" w:rsidRDefault="009A2766">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Proof of Service</w:t>
            </w:r>
          </w:p>
        </w:tc>
      </w:tr>
      <w:tr w:rsidR="00B06F19" w14:paraId="186590B8" w14:textId="77777777">
        <w:tc>
          <w:tcPr>
            <w:tcW w:w="2718" w:type="dxa"/>
            <w:shd w:val="clear" w:color="auto" w:fill="auto"/>
          </w:tcPr>
          <w:p w14:paraId="1C292BEE"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Email</w:t>
            </w:r>
          </w:p>
        </w:tc>
        <w:tc>
          <w:tcPr>
            <w:tcW w:w="3150" w:type="dxa"/>
            <w:shd w:val="clear" w:color="auto" w:fill="auto"/>
          </w:tcPr>
          <w:p w14:paraId="72870181"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9.00 am on the first Business Day after sending.</w:t>
            </w:r>
          </w:p>
        </w:tc>
        <w:tc>
          <w:tcPr>
            <w:tcW w:w="2610" w:type="dxa"/>
            <w:shd w:val="clear" w:color="auto" w:fill="auto"/>
          </w:tcPr>
          <w:p w14:paraId="4051ACF9"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Dispatched as a legible document attachment to the correct email address without any error message.</w:t>
            </w:r>
          </w:p>
        </w:tc>
      </w:tr>
      <w:tr w:rsidR="00B06F19" w14:paraId="0BC75C7A" w14:textId="77777777">
        <w:tc>
          <w:tcPr>
            <w:tcW w:w="2718" w:type="dxa"/>
            <w:shd w:val="clear" w:color="auto" w:fill="auto"/>
          </w:tcPr>
          <w:p w14:paraId="0B6DA888" w14:textId="77777777" w:rsidR="00B06F19" w:rsidRDefault="009A2766">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Personal delivery</w:t>
            </w:r>
          </w:p>
        </w:tc>
        <w:tc>
          <w:tcPr>
            <w:tcW w:w="3150" w:type="dxa"/>
            <w:shd w:val="clear" w:color="auto" w:fill="auto"/>
          </w:tcPr>
          <w:p w14:paraId="08E71A0A"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 xml:space="preserve">On delivery, provided delivery is between 9.00 am and 5.00 pm on a Business Day.  Otherwise, delivery will occur at 9.00 am on the </w:t>
            </w:r>
            <w:r>
              <w:rPr>
                <w:rFonts w:ascii="Arial" w:hAnsi="Arial" w:cs="Arial"/>
                <w:sz w:val="20"/>
              </w:rPr>
              <w:t>same Business Day (if delivery is before 9.00 am) or 9.00 am on the next Business Day (if after 5.00 pm).</w:t>
            </w:r>
          </w:p>
        </w:tc>
        <w:tc>
          <w:tcPr>
            <w:tcW w:w="2610" w:type="dxa"/>
            <w:shd w:val="clear" w:color="auto" w:fill="auto"/>
          </w:tcPr>
          <w:p w14:paraId="24DEA0B1"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and delivered as evidenced by signature of a delivery receipt.</w:t>
            </w:r>
          </w:p>
        </w:tc>
      </w:tr>
      <w:tr w:rsidR="00B06F19" w14:paraId="2634D452" w14:textId="77777777">
        <w:tc>
          <w:tcPr>
            <w:tcW w:w="2718" w:type="dxa"/>
            <w:shd w:val="clear" w:color="auto" w:fill="auto"/>
          </w:tcPr>
          <w:p w14:paraId="7A33744E" w14:textId="77777777" w:rsidR="00B06F19" w:rsidRDefault="009A2766">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Prepaid, Recorded delivery or other service providing proof of deli</w:t>
            </w:r>
            <w:r>
              <w:rPr>
                <w:rFonts w:ascii="Arial" w:hAnsi="Arial" w:cs="Arial"/>
                <w:b/>
                <w:sz w:val="20"/>
              </w:rPr>
              <w:t>very</w:t>
            </w:r>
          </w:p>
        </w:tc>
        <w:tc>
          <w:tcPr>
            <w:tcW w:w="3150" w:type="dxa"/>
            <w:shd w:val="clear" w:color="auto" w:fill="auto"/>
          </w:tcPr>
          <w:p w14:paraId="2301D930"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delivery is between 9.00 am and 5.00 pm on a Business Day.  Otherwise, delivery will occur at 9.00 am on the same Business Day (if delivery is before 9.00 am on the next Business Day (if afte</w:t>
            </w:r>
            <w:r>
              <w:rPr>
                <w:rFonts w:ascii="Arial" w:hAnsi="Arial" w:cs="Arial"/>
                <w:sz w:val="20"/>
              </w:rPr>
              <w:t>r 5.00 pm).</w:t>
            </w:r>
          </w:p>
        </w:tc>
        <w:tc>
          <w:tcPr>
            <w:tcW w:w="2610" w:type="dxa"/>
            <w:shd w:val="clear" w:color="auto" w:fill="auto"/>
          </w:tcPr>
          <w:p w14:paraId="18F5BBDD"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prepaid and delivered as evidenced by signature of a delivery receipt.</w:t>
            </w:r>
          </w:p>
        </w:tc>
      </w:tr>
      <w:tr w:rsidR="00B06F19" w14:paraId="0ECFB635" w14:textId="77777777">
        <w:tc>
          <w:tcPr>
            <w:tcW w:w="2718" w:type="dxa"/>
            <w:shd w:val="clear" w:color="auto" w:fill="auto"/>
          </w:tcPr>
          <w:p w14:paraId="53C208C2" w14:textId="77777777" w:rsidR="00B06F19" w:rsidRDefault="009A2766">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 xml:space="preserve">Prepaid international air postal service with a requirement for signature on delivery </w:t>
            </w:r>
          </w:p>
        </w:tc>
        <w:tc>
          <w:tcPr>
            <w:tcW w:w="3150" w:type="dxa"/>
            <w:shd w:val="clear" w:color="auto" w:fill="auto"/>
          </w:tcPr>
          <w:p w14:paraId="55D6D271"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w:t>
            </w:r>
            <w:r>
              <w:rPr>
                <w:rFonts w:ascii="Arial" w:hAnsi="Arial" w:cs="Arial"/>
                <w:sz w:val="20"/>
              </w:rPr>
              <w:t xml:space="preserve">ry if between 9.00 am and 5.00 pm on a Business Day.  </w:t>
            </w:r>
            <w:r>
              <w:rPr>
                <w:rFonts w:ascii="Arial" w:hAnsi="Arial" w:cs="Arial"/>
                <w:sz w:val="20"/>
              </w:rPr>
              <w:lastRenderedPageBreak/>
              <w:t>Otherwise, delivery will occur at 9.00 am on the same Business Day (if delivery is before 9.00 am) or 9.00 am on the next Business Day (if after 5.00pm).</w:t>
            </w:r>
          </w:p>
        </w:tc>
        <w:tc>
          <w:tcPr>
            <w:tcW w:w="2610" w:type="dxa"/>
            <w:shd w:val="clear" w:color="auto" w:fill="auto"/>
          </w:tcPr>
          <w:p w14:paraId="2D541C55" w14:textId="77777777" w:rsidR="00B06F19" w:rsidRDefault="009A2766">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lastRenderedPageBreak/>
              <w:t>Properly addressed, prepaid and delivered as evi</w:t>
            </w:r>
            <w:r>
              <w:rPr>
                <w:rFonts w:ascii="Arial" w:hAnsi="Arial" w:cs="Arial"/>
                <w:sz w:val="20"/>
              </w:rPr>
              <w:t>denced by signature of a delivery receipt.</w:t>
            </w:r>
          </w:p>
        </w:tc>
      </w:tr>
    </w:tbl>
    <w:p w14:paraId="518DD41D" w14:textId="77777777" w:rsidR="00B06F19" w:rsidRDefault="00B06F19">
      <w:pPr>
        <w:pStyle w:val="Table-followingparagraph"/>
        <w:rPr>
          <w:rFonts w:ascii="Arial" w:hAnsi="Arial" w:cs="Arial"/>
          <w:sz w:val="20"/>
        </w:rPr>
      </w:pPr>
      <w:bookmarkStart w:id="121" w:name="_Toc422303985"/>
    </w:p>
    <w:p w14:paraId="490F339A" w14:textId="77777777" w:rsidR="00B06F19" w:rsidRDefault="009A2766">
      <w:pPr>
        <w:pStyle w:val="Heading2"/>
        <w:keepLines/>
        <w:rPr>
          <w:rFonts w:ascii="Arial" w:hAnsi="Arial" w:cs="Arial"/>
          <w:sz w:val="20"/>
        </w:rPr>
      </w:pPr>
      <w:r>
        <w:rPr>
          <w:rFonts w:ascii="Arial" w:hAnsi="Arial" w:cs="Arial"/>
          <w:sz w:val="20"/>
        </w:rPr>
        <w:t>A party may notify the other of a change to its details for the purposes of this clause.  This notification shall be effective from the date falling 7 days after the date on which such notification is, in accord</w:t>
      </w:r>
      <w:r>
        <w:rPr>
          <w:rFonts w:ascii="Arial" w:hAnsi="Arial" w:cs="Arial"/>
          <w:sz w:val="20"/>
        </w:rPr>
        <w:t>ance with this clause, deemed to have been delivered or on such later date as may be specified in the notification.</w:t>
      </w:r>
    </w:p>
    <w:p w14:paraId="673B7754" w14:textId="77777777" w:rsidR="00B06F19" w:rsidRDefault="009A2766">
      <w:pPr>
        <w:pStyle w:val="Heading1"/>
      </w:pPr>
      <w:bookmarkStart w:id="122" w:name="_Ref529279156"/>
      <w:bookmarkStart w:id="123" w:name="_Toc8389577"/>
      <w:r>
        <w:t>DISPUTE RESOLUTION</w:t>
      </w:r>
      <w:bookmarkEnd w:id="122"/>
      <w:bookmarkEnd w:id="123"/>
    </w:p>
    <w:p w14:paraId="6F5DD04B" w14:textId="77777777" w:rsidR="00B06F19" w:rsidRDefault="009A2766">
      <w:pPr>
        <w:pStyle w:val="Heading2"/>
        <w:rPr>
          <w:rFonts w:ascii="Arial" w:hAnsi="Arial" w:cs="Arial"/>
          <w:sz w:val="20"/>
        </w:rPr>
      </w:pPr>
      <w:r>
        <w:rPr>
          <w:rFonts w:ascii="Arial" w:hAnsi="Arial" w:cs="Arial"/>
          <w:sz w:val="20"/>
        </w:rPr>
        <w:t xml:space="preserve">Subject to a right to claim injunctive relief where applicable, the parties shall first attempt to resolve any </w:t>
      </w:r>
      <w:r>
        <w:rPr>
          <w:rFonts w:ascii="Arial" w:hAnsi="Arial" w:cs="Arial"/>
          <w:sz w:val="20"/>
        </w:rPr>
        <w:t>dispute between them arising out of, or in connection with, this Agreement in accordance with the following dispute resolution procedure.</w:t>
      </w:r>
    </w:p>
    <w:p w14:paraId="7D0CB3F8" w14:textId="77777777" w:rsidR="00B06F19" w:rsidRDefault="009A2766">
      <w:pPr>
        <w:pStyle w:val="Heading2"/>
        <w:rPr>
          <w:rFonts w:ascii="Arial" w:hAnsi="Arial" w:cs="Arial"/>
          <w:sz w:val="20"/>
        </w:rPr>
      </w:pPr>
      <w:bookmarkStart w:id="124" w:name="_Ref8216963"/>
      <w:r>
        <w:rPr>
          <w:rFonts w:ascii="Arial" w:hAnsi="Arial" w:cs="Arial"/>
          <w:sz w:val="20"/>
        </w:rPr>
        <w:t>Either party will give to the other written notice of the dispute, including a full description of the circumstances g</w:t>
      </w:r>
      <w:r>
        <w:rPr>
          <w:rFonts w:ascii="Arial" w:hAnsi="Arial" w:cs="Arial"/>
          <w:sz w:val="20"/>
        </w:rPr>
        <w:t>iving rise to such dispute (</w:t>
      </w:r>
      <w:r>
        <w:rPr>
          <w:rFonts w:ascii="Arial" w:hAnsi="Arial" w:cs="Arial"/>
          <w:b/>
          <w:sz w:val="20"/>
        </w:rPr>
        <w:t>"Dispute Notice"</w:t>
      </w:r>
      <w:r>
        <w:rPr>
          <w:rFonts w:ascii="Arial" w:hAnsi="Arial" w:cs="Arial"/>
          <w:sz w:val="20"/>
        </w:rPr>
        <w:t>), together with relevant available supporting documentation.  Each party's senior commercial managers will attempt in good faith to resolve the dispute within 5 Business Days of the date of delivery of the Dispu</w:t>
      </w:r>
      <w:r>
        <w:rPr>
          <w:rFonts w:ascii="Arial" w:hAnsi="Arial" w:cs="Arial"/>
          <w:sz w:val="20"/>
        </w:rPr>
        <w:t>te Notice.</w:t>
      </w:r>
      <w:bookmarkEnd w:id="124"/>
    </w:p>
    <w:p w14:paraId="6B61327E" w14:textId="77777777" w:rsidR="00B06F19" w:rsidRDefault="009A2766">
      <w:pPr>
        <w:pStyle w:val="Heading2"/>
        <w:rPr>
          <w:rFonts w:ascii="Arial" w:hAnsi="Arial" w:cs="Arial"/>
          <w:sz w:val="20"/>
        </w:rPr>
      </w:pPr>
      <w:r>
        <w:rPr>
          <w:rFonts w:ascii="Arial" w:hAnsi="Arial" w:cs="Arial"/>
          <w:sz w:val="20"/>
        </w:rPr>
        <w:t>If each party's senior commercial managers are for any reason unable to resolve the dispute within 5 Business Days of the date of delivery of the Dispute Notice, then within a further 2 Business Days, the matter shall be referred by both parties</w:t>
      </w:r>
      <w:r>
        <w:rPr>
          <w:rFonts w:ascii="Arial" w:hAnsi="Arial" w:cs="Arial"/>
          <w:sz w:val="20"/>
        </w:rPr>
        <w:t xml:space="preserve"> to their respective senior executive officers and they will attempt in good faith to resolve it. </w:t>
      </w:r>
    </w:p>
    <w:p w14:paraId="0ADB004A" w14:textId="77777777" w:rsidR="00B06F19" w:rsidRDefault="009A2766">
      <w:pPr>
        <w:pStyle w:val="Heading2"/>
        <w:rPr>
          <w:rFonts w:ascii="Arial" w:hAnsi="Arial" w:cs="Arial"/>
          <w:sz w:val="20"/>
        </w:rPr>
      </w:pPr>
      <w:r>
        <w:rPr>
          <w:rFonts w:ascii="Arial" w:hAnsi="Arial" w:cs="Arial"/>
          <w:sz w:val="20"/>
        </w:rPr>
        <w:t xml:space="preserve">If the parties senior executive officers are for any reason unable to resolve the dispute within 5 Business Days of it being referred to them, then within a </w:t>
      </w:r>
      <w:r>
        <w:rPr>
          <w:rFonts w:ascii="Arial" w:hAnsi="Arial" w:cs="Arial"/>
          <w:sz w:val="20"/>
        </w:rPr>
        <w:t xml:space="preserve">further 2 Business Days, each party shall refer the matter to the Catalogue Authority.   </w:t>
      </w:r>
    </w:p>
    <w:p w14:paraId="0EA6DBBF" w14:textId="77777777" w:rsidR="00B06F19" w:rsidRDefault="009A2766">
      <w:pPr>
        <w:pStyle w:val="Heading2"/>
        <w:rPr>
          <w:rFonts w:ascii="Arial" w:hAnsi="Arial" w:cs="Arial"/>
          <w:sz w:val="20"/>
        </w:rPr>
      </w:pPr>
      <w:bookmarkStart w:id="125" w:name="_Ref421265100"/>
      <w:r>
        <w:rPr>
          <w:rFonts w:ascii="Arial" w:hAnsi="Arial" w:cs="Arial"/>
          <w:sz w:val="20"/>
        </w:rPr>
        <w:t>The Catalogue Authority shall investigate each matter referred to it and each party shall co-operate with any enquiries relating to that investigation</w:t>
      </w:r>
      <w:bookmarkEnd w:id="125"/>
      <w:r>
        <w:rPr>
          <w:rFonts w:ascii="Arial" w:hAnsi="Arial" w:cs="Arial"/>
          <w:sz w:val="20"/>
        </w:rPr>
        <w:t xml:space="preserve"> including by pr</w:t>
      </w:r>
      <w:r>
        <w:rPr>
          <w:rFonts w:ascii="Arial" w:hAnsi="Arial" w:cs="Arial"/>
          <w:sz w:val="20"/>
        </w:rPr>
        <w:t>omptly providing information and attendance at mediation meetings as reasonably requested.  The Catalogue Authority shall assess compliance of the parties with the Commercial Standard when considering any dispute.  Both parties shall comply with any decisi</w:t>
      </w:r>
      <w:r>
        <w:rPr>
          <w:rFonts w:ascii="Arial" w:hAnsi="Arial" w:cs="Arial"/>
          <w:sz w:val="20"/>
        </w:rPr>
        <w:t xml:space="preserve">ons and instructions of the Catalogue Authority at the conclusion of any such investigation (which may include referral of the dispute for expert determination or mediation). </w:t>
      </w:r>
    </w:p>
    <w:p w14:paraId="3248DF17" w14:textId="77777777" w:rsidR="00B06F19" w:rsidRDefault="009A2766">
      <w:pPr>
        <w:pStyle w:val="Heading2"/>
        <w:rPr>
          <w:rFonts w:ascii="Arial" w:hAnsi="Arial" w:cs="Arial"/>
          <w:sz w:val="20"/>
        </w:rPr>
      </w:pPr>
      <w:r>
        <w:rPr>
          <w:rFonts w:ascii="Arial" w:hAnsi="Arial" w:cs="Arial"/>
          <w:sz w:val="20"/>
        </w:rPr>
        <w:t xml:space="preserve">Nothing in this Agreement will restrict, at any time, either party's freedom to </w:t>
      </w:r>
      <w:r>
        <w:rPr>
          <w:rFonts w:ascii="Arial" w:hAnsi="Arial" w:cs="Arial"/>
          <w:sz w:val="20"/>
        </w:rPr>
        <w:t>commence court proceedings for whatever reason.</w:t>
      </w:r>
    </w:p>
    <w:p w14:paraId="30A351BE" w14:textId="77777777" w:rsidR="00B06F19" w:rsidRDefault="009A2766">
      <w:pPr>
        <w:pStyle w:val="Heading1"/>
      </w:pPr>
      <w:bookmarkStart w:id="126" w:name="_Toc8389578"/>
      <w:bookmarkStart w:id="127" w:name="_Toc422303989"/>
      <w:bookmarkEnd w:id="121"/>
      <w:r>
        <w:t>WAIVER</w:t>
      </w:r>
      <w:bookmarkEnd w:id="126"/>
    </w:p>
    <w:bookmarkEnd w:id="127"/>
    <w:p w14:paraId="0483BE71" w14:textId="77777777" w:rsidR="00B06F19" w:rsidRDefault="009A2766">
      <w:pPr>
        <w:pStyle w:val="Heading2"/>
        <w:numPr>
          <w:ilvl w:val="0"/>
          <w:numId w:val="0"/>
        </w:numPr>
        <w:ind w:left="720"/>
        <w:rPr>
          <w:rFonts w:ascii="Arial" w:hAnsi="Arial" w:cs="Arial"/>
          <w:sz w:val="20"/>
        </w:rPr>
      </w:pPr>
      <w:r>
        <w:rPr>
          <w:rFonts w:ascii="Arial" w:hAnsi="Arial" w:cs="Arial"/>
          <w:sz w:val="20"/>
        </w:rPr>
        <w:t>Any delay or failure by a party in exercising, or any waiver by a party of, its rights under or in connection with this Agreement will not limit or restrict the future exercise or enforceability of tho</w:t>
      </w:r>
      <w:r>
        <w:rPr>
          <w:rFonts w:ascii="Arial" w:hAnsi="Arial" w:cs="Arial"/>
          <w:sz w:val="20"/>
        </w:rPr>
        <w:t>se rights.</w:t>
      </w:r>
    </w:p>
    <w:p w14:paraId="4D2DB56A" w14:textId="77777777" w:rsidR="00B06F19" w:rsidRDefault="009A2766">
      <w:pPr>
        <w:pStyle w:val="Heading1"/>
      </w:pPr>
      <w:bookmarkStart w:id="128" w:name="_Toc422303991"/>
      <w:bookmarkStart w:id="129" w:name="_Toc8389579"/>
      <w:r>
        <w:t>CUMULATIVE REMEDIES</w:t>
      </w:r>
      <w:bookmarkEnd w:id="128"/>
      <w:bookmarkEnd w:id="129"/>
    </w:p>
    <w:p w14:paraId="6D957E78" w14:textId="77777777" w:rsidR="00B06F19" w:rsidRDefault="009A2766">
      <w:pPr>
        <w:pStyle w:val="BodyTextIndent"/>
        <w:rPr>
          <w:rFonts w:ascii="Arial" w:hAnsi="Arial" w:cs="Arial"/>
          <w:sz w:val="20"/>
        </w:rPr>
      </w:pPr>
      <w:r>
        <w:rPr>
          <w:rFonts w:ascii="Arial" w:hAnsi="Arial" w:cs="Arial"/>
          <w:sz w:val="20"/>
        </w:rPr>
        <w:t>The rights and remedies under this Agreement are cumulative and in addition to and, except where otherwise expressly provided in this Agreement, do not exclude, any rights and remedies provided by law (including equitable rem</w:t>
      </w:r>
      <w:r>
        <w:rPr>
          <w:rFonts w:ascii="Arial" w:hAnsi="Arial" w:cs="Arial"/>
          <w:sz w:val="20"/>
        </w:rPr>
        <w:t>edies) or otherwise.</w:t>
      </w:r>
    </w:p>
    <w:p w14:paraId="1B21AF11" w14:textId="77777777" w:rsidR="00B06F19" w:rsidRDefault="009A2766">
      <w:pPr>
        <w:pStyle w:val="Heading1"/>
      </w:pPr>
      <w:bookmarkStart w:id="130" w:name="_Toc8389580"/>
      <w:bookmarkStart w:id="131" w:name="_Toc422303992"/>
      <w:r>
        <w:lastRenderedPageBreak/>
        <w:t>RELATIONSHIP OF THE PARTIES</w:t>
      </w:r>
      <w:bookmarkEnd w:id="130"/>
      <w:r>
        <w:t xml:space="preserve"> </w:t>
      </w:r>
      <w:bookmarkEnd w:id="131"/>
    </w:p>
    <w:p w14:paraId="7645E12F" w14:textId="77777777" w:rsidR="00B06F19" w:rsidRDefault="009A2766">
      <w:pPr>
        <w:pStyle w:val="BodyTextIndent"/>
        <w:rPr>
          <w:rFonts w:ascii="Arial" w:hAnsi="Arial" w:cs="Arial"/>
          <w:sz w:val="20"/>
        </w:rPr>
      </w:pPr>
      <w:r>
        <w:rPr>
          <w:rFonts w:ascii="Arial" w:hAnsi="Arial" w:cs="Arial"/>
          <w:sz w:val="20"/>
        </w:rPr>
        <w:t xml:space="preserve">Nothing in this Agreement is intended or shall be construed as creating a partnership, joint venture, the relationship of principal and agent, or any other legal relationship between the parties that would </w:t>
      </w:r>
      <w:r>
        <w:rPr>
          <w:rFonts w:ascii="Arial" w:hAnsi="Arial" w:cs="Arial"/>
          <w:sz w:val="20"/>
        </w:rPr>
        <w:t xml:space="preserve">impose liability upon one party for the act or failure to act of the other.  Neither party has authority or power to make representations or bind the other in any way.  </w:t>
      </w:r>
    </w:p>
    <w:p w14:paraId="71DCC93F" w14:textId="77777777" w:rsidR="00B06F19" w:rsidRDefault="009A2766">
      <w:pPr>
        <w:pStyle w:val="Heading1"/>
      </w:pPr>
      <w:bookmarkStart w:id="132" w:name="_Toc422303994"/>
      <w:bookmarkStart w:id="133" w:name="_Toc8389581"/>
      <w:r>
        <w:t>FURTHER ASSURANCE</w:t>
      </w:r>
      <w:bookmarkEnd w:id="132"/>
      <w:bookmarkEnd w:id="133"/>
      <w:r>
        <w:t xml:space="preserve"> </w:t>
      </w:r>
    </w:p>
    <w:p w14:paraId="3E217BC9" w14:textId="77777777" w:rsidR="00B06F19" w:rsidRDefault="009A2766">
      <w:pPr>
        <w:pStyle w:val="BodyTextIndent"/>
        <w:rPr>
          <w:rFonts w:ascii="Arial" w:hAnsi="Arial" w:cs="Arial"/>
          <w:sz w:val="20"/>
        </w:rPr>
      </w:pPr>
      <w:r>
        <w:rPr>
          <w:rFonts w:ascii="Arial" w:hAnsi="Arial" w:cs="Arial"/>
          <w:sz w:val="20"/>
        </w:rPr>
        <w:t>Each party shall, at the request and cost of the other, use its rea</w:t>
      </w:r>
      <w:r>
        <w:rPr>
          <w:rFonts w:ascii="Arial" w:hAnsi="Arial" w:cs="Arial"/>
          <w:sz w:val="20"/>
        </w:rPr>
        <w:t>sonable endeavours to  do or procure the doing of all such further acts, and execute and deliver or procure the valid execution and delivery of all such documents, as may from time to time be necessary in the requesting party's reasonable opinion to give f</w:t>
      </w:r>
      <w:r>
        <w:rPr>
          <w:rFonts w:ascii="Arial" w:hAnsi="Arial" w:cs="Arial"/>
          <w:sz w:val="20"/>
        </w:rPr>
        <w:t xml:space="preserve">ull effect to this Agreement and to secure to the requesting party the full benefit of the rights, remedies and benefits conferred on it by this Agreement.  </w:t>
      </w:r>
    </w:p>
    <w:p w14:paraId="25969847" w14:textId="77777777" w:rsidR="00B06F19" w:rsidRDefault="009A2766">
      <w:pPr>
        <w:pStyle w:val="Heading1"/>
      </w:pPr>
      <w:bookmarkStart w:id="134" w:name="_Toc8389582"/>
      <w:bookmarkStart w:id="135" w:name="_Toc422303995"/>
      <w:r>
        <w:t>SEVERANCE</w:t>
      </w:r>
      <w:bookmarkEnd w:id="134"/>
      <w:r>
        <w:t xml:space="preserve"> </w:t>
      </w:r>
      <w:bookmarkEnd w:id="135"/>
    </w:p>
    <w:p w14:paraId="1D5C8F7F" w14:textId="77777777" w:rsidR="00B06F19" w:rsidRDefault="009A2766">
      <w:pPr>
        <w:pStyle w:val="Heading2"/>
        <w:numPr>
          <w:ilvl w:val="0"/>
          <w:numId w:val="0"/>
        </w:numPr>
        <w:ind w:left="720"/>
        <w:rPr>
          <w:rFonts w:ascii="Arial" w:hAnsi="Arial" w:cs="Arial"/>
          <w:sz w:val="20"/>
        </w:rPr>
      </w:pPr>
      <w:r>
        <w:rPr>
          <w:rFonts w:ascii="Arial" w:hAnsi="Arial" w:cs="Arial"/>
          <w:sz w:val="20"/>
        </w:rPr>
        <w:t>If any provision (or part of any provision) of this Agreement is, or becomes illegal, i</w:t>
      </w:r>
      <w:r>
        <w:rPr>
          <w:rFonts w:ascii="Arial" w:hAnsi="Arial" w:cs="Arial"/>
          <w:sz w:val="20"/>
        </w:rPr>
        <w:t xml:space="preserve">nvalid or unenforceable in any respect: (a) it shall not affect or impair the legality, validity or enforceability of any other provision of this Agreement; and (b) that provision (or part provision), will be deemed deleted. </w:t>
      </w:r>
    </w:p>
    <w:p w14:paraId="02F9BB5B" w14:textId="77777777" w:rsidR="00B06F19" w:rsidRDefault="009A2766">
      <w:pPr>
        <w:pStyle w:val="Heading1"/>
      </w:pPr>
      <w:bookmarkStart w:id="136" w:name="_Ref400116884"/>
      <w:bookmarkStart w:id="137" w:name="_Toc422303997"/>
      <w:bookmarkStart w:id="138" w:name="_Toc8389583"/>
      <w:r>
        <w:t>THIRD PARTY RIGHTS</w:t>
      </w:r>
      <w:bookmarkEnd w:id="136"/>
      <w:bookmarkEnd w:id="137"/>
      <w:bookmarkEnd w:id="138"/>
    </w:p>
    <w:p w14:paraId="419538B9" w14:textId="77777777" w:rsidR="00B06F19" w:rsidRDefault="009A2766">
      <w:pPr>
        <w:pStyle w:val="Heading2"/>
        <w:keepNext/>
        <w:keepLines/>
        <w:rPr>
          <w:rFonts w:ascii="Arial" w:hAnsi="Arial" w:cs="Arial"/>
          <w:sz w:val="20"/>
        </w:rPr>
      </w:pPr>
      <w:bookmarkStart w:id="139" w:name="_Ref3210843"/>
      <w:r>
        <w:rPr>
          <w:rFonts w:ascii="Arial" w:hAnsi="Arial" w:cs="Arial"/>
          <w:sz w:val="20"/>
        </w:rPr>
        <w:t xml:space="preserve">NHS </w:t>
      </w:r>
      <w:r>
        <w:rPr>
          <w:rFonts w:ascii="Arial" w:hAnsi="Arial" w:cs="Arial"/>
          <w:sz w:val="20"/>
        </w:rPr>
        <w:t>Digital, in its capacity as the "Catalogue Authority" in managing the Catalogue and each relevant Controller shall have rights to enforce the terms of this Agreement.  These rights of enforcement shall apply to any party replacing or succeeding NHS Digital</w:t>
      </w:r>
      <w:r>
        <w:rPr>
          <w:rFonts w:ascii="Arial" w:hAnsi="Arial" w:cs="Arial"/>
          <w:sz w:val="20"/>
        </w:rPr>
        <w:t xml:space="preserve"> as the Catalogue Authority.</w:t>
      </w:r>
      <w:bookmarkEnd w:id="139"/>
    </w:p>
    <w:p w14:paraId="14ADE090" w14:textId="77777777" w:rsidR="00B06F19" w:rsidRDefault="009A2766">
      <w:pPr>
        <w:pStyle w:val="Heading2"/>
        <w:keepNext/>
        <w:keepLines/>
        <w:rPr>
          <w:rFonts w:ascii="Arial" w:hAnsi="Arial" w:cs="Arial"/>
          <w:sz w:val="20"/>
        </w:rPr>
      </w:pPr>
      <w:bookmarkStart w:id="140" w:name="_Ref8216928"/>
      <w:r>
        <w:rPr>
          <w:rFonts w:ascii="Arial" w:hAnsi="Arial" w:cs="Arial"/>
          <w:sz w:val="20"/>
        </w:rPr>
        <w:t>Except for the Catalogue Authority as described in clause </w:t>
      </w:r>
      <w:r>
        <w:rPr>
          <w:rFonts w:ascii="Arial" w:hAnsi="Arial" w:cs="Arial"/>
          <w:sz w:val="20"/>
        </w:rPr>
        <w:fldChar w:fldCharType="begin"/>
      </w:r>
      <w:r>
        <w:rPr>
          <w:rFonts w:ascii="Arial" w:hAnsi="Arial" w:cs="Arial"/>
          <w:sz w:val="20"/>
        </w:rPr>
        <w:instrText xml:space="preserve"> REF _Ref3210843 \r \h  \* MERGEFORMAT </w:instrText>
      </w:r>
      <w:r>
        <w:rPr>
          <w:rFonts w:ascii="Arial" w:hAnsi="Arial" w:cs="Arial"/>
          <w:sz w:val="20"/>
        </w:rPr>
      </w:r>
      <w:r>
        <w:rPr>
          <w:rFonts w:ascii="Arial" w:hAnsi="Arial" w:cs="Arial"/>
          <w:sz w:val="20"/>
        </w:rPr>
        <w:fldChar w:fldCharType="separate"/>
      </w:r>
      <w:r>
        <w:rPr>
          <w:rFonts w:ascii="Arial" w:hAnsi="Arial" w:cs="Arial"/>
          <w:sz w:val="20"/>
        </w:rPr>
        <w:t>23.1</w:t>
      </w:r>
      <w:r>
        <w:rPr>
          <w:rFonts w:ascii="Arial" w:hAnsi="Arial" w:cs="Arial"/>
          <w:sz w:val="20"/>
        </w:rPr>
        <w:fldChar w:fldCharType="end"/>
      </w:r>
      <w:r>
        <w:rPr>
          <w:rFonts w:ascii="Arial" w:hAnsi="Arial" w:cs="Arial"/>
          <w:sz w:val="20"/>
        </w:rPr>
        <w:t>, a person who is not a party to this Agreement shall have n</w:t>
      </w:r>
      <w:r>
        <w:rPr>
          <w:rFonts w:ascii="Arial" w:hAnsi="Arial" w:cs="Arial"/>
          <w:sz w:val="20"/>
        </w:rPr>
        <w:t>o right under the Contracts (Rights of Third Parties) Act 1999 (</w:t>
      </w:r>
      <w:r>
        <w:rPr>
          <w:rFonts w:ascii="Arial" w:hAnsi="Arial" w:cs="Arial"/>
          <w:b/>
          <w:sz w:val="20"/>
        </w:rPr>
        <w:t>"CRTPA"</w:t>
      </w:r>
      <w:r>
        <w:rPr>
          <w:rFonts w:ascii="Arial" w:hAnsi="Arial" w:cs="Arial"/>
          <w:sz w:val="20"/>
        </w:rPr>
        <w:t>) to enforce any term of the Agreement.</w:t>
      </w:r>
      <w:bookmarkEnd w:id="140"/>
      <w:r>
        <w:rPr>
          <w:rFonts w:ascii="Arial" w:hAnsi="Arial" w:cs="Arial"/>
          <w:sz w:val="20"/>
        </w:rPr>
        <w:t xml:space="preserve">  </w:t>
      </w:r>
    </w:p>
    <w:p w14:paraId="6D8CA623" w14:textId="77777777" w:rsidR="00B06F19" w:rsidRDefault="009A2766">
      <w:pPr>
        <w:pStyle w:val="Heading2"/>
        <w:keepNext/>
        <w:keepLines/>
        <w:rPr>
          <w:rFonts w:ascii="Arial" w:hAnsi="Arial" w:cs="Arial"/>
          <w:sz w:val="20"/>
        </w:rPr>
      </w:pPr>
      <w:r>
        <w:rPr>
          <w:rFonts w:ascii="Arial" w:hAnsi="Arial" w:cs="Arial"/>
          <w:sz w:val="20"/>
        </w:rPr>
        <w:t>This clause </w:t>
      </w:r>
      <w:r>
        <w:rPr>
          <w:rFonts w:ascii="Arial" w:hAnsi="Arial" w:cs="Arial"/>
          <w:sz w:val="20"/>
        </w:rPr>
        <w:fldChar w:fldCharType="begin"/>
      </w:r>
      <w:r>
        <w:rPr>
          <w:rFonts w:ascii="Arial" w:hAnsi="Arial" w:cs="Arial"/>
          <w:sz w:val="20"/>
        </w:rPr>
        <w:instrText xml:space="preserve"> REF _Ref400116884 \r \h  \* MERGEFORMAT </w:instrText>
      </w:r>
      <w:r>
        <w:rPr>
          <w:rFonts w:ascii="Arial" w:hAnsi="Arial" w:cs="Arial"/>
          <w:sz w:val="20"/>
        </w:rPr>
      </w:r>
      <w:r>
        <w:rPr>
          <w:rFonts w:ascii="Arial" w:hAnsi="Arial" w:cs="Arial"/>
          <w:sz w:val="20"/>
        </w:rPr>
        <w:fldChar w:fldCharType="separate"/>
      </w:r>
      <w:r>
        <w:rPr>
          <w:rFonts w:ascii="Arial" w:hAnsi="Arial" w:cs="Arial"/>
          <w:sz w:val="20"/>
        </w:rPr>
        <w:t>23</w:t>
      </w:r>
      <w:r>
        <w:rPr>
          <w:rFonts w:ascii="Arial" w:hAnsi="Arial" w:cs="Arial"/>
          <w:sz w:val="20"/>
        </w:rPr>
        <w:fldChar w:fldCharType="end"/>
      </w:r>
      <w:r>
        <w:rPr>
          <w:rFonts w:ascii="Arial" w:hAnsi="Arial" w:cs="Arial"/>
          <w:sz w:val="20"/>
        </w:rPr>
        <w:t xml:space="preserve"> will not affect any</w:t>
      </w:r>
      <w:r>
        <w:rPr>
          <w:rFonts w:ascii="Arial" w:hAnsi="Arial" w:cs="Arial"/>
          <w:sz w:val="20"/>
        </w:rPr>
        <w:t xml:space="preserve"> right or remedy of any person which exists, or is available, otherwise than pursuant to CRTPA.</w:t>
      </w:r>
    </w:p>
    <w:p w14:paraId="47CE84E6" w14:textId="77777777" w:rsidR="00B06F19" w:rsidRDefault="009A2766">
      <w:pPr>
        <w:pStyle w:val="Heading1"/>
      </w:pPr>
      <w:bookmarkStart w:id="141" w:name="_Toc422303999"/>
      <w:bookmarkStart w:id="142" w:name="_Toc8389584"/>
      <w:r>
        <w:t>VARIATION</w:t>
      </w:r>
      <w:bookmarkEnd w:id="141"/>
      <w:bookmarkEnd w:id="142"/>
      <w:r>
        <w:t xml:space="preserve"> </w:t>
      </w:r>
    </w:p>
    <w:p w14:paraId="58CD52E1" w14:textId="77777777" w:rsidR="00B06F19" w:rsidRDefault="009A2766">
      <w:pPr>
        <w:pStyle w:val="BodyTextIndent"/>
        <w:rPr>
          <w:rFonts w:ascii="Arial" w:hAnsi="Arial" w:cs="Arial"/>
          <w:sz w:val="20"/>
        </w:rPr>
      </w:pPr>
      <w:r>
        <w:rPr>
          <w:rFonts w:ascii="Arial" w:hAnsi="Arial" w:cs="Arial"/>
          <w:sz w:val="20"/>
        </w:rPr>
        <w:t xml:space="preserve">No variation of this Agreement shall be valid unless it is in writing and signed by, or on behalf of each of the parties to this Agreement. </w:t>
      </w:r>
      <w:bookmarkStart w:id="143" w:name="_Ref400117043"/>
      <w:bookmarkStart w:id="144" w:name="_Toc422304000"/>
    </w:p>
    <w:p w14:paraId="57F16E15" w14:textId="77777777" w:rsidR="00B06F19" w:rsidRDefault="009A2766">
      <w:pPr>
        <w:pStyle w:val="Heading1"/>
      </w:pPr>
      <w:bookmarkStart w:id="145" w:name="_Ref400117100"/>
      <w:bookmarkStart w:id="146" w:name="_Toc422304006"/>
      <w:bookmarkStart w:id="147" w:name="_Toc8389585"/>
      <w:bookmarkEnd w:id="143"/>
      <w:bookmarkEnd w:id="144"/>
      <w:r>
        <w:t>ENTIRE A</w:t>
      </w:r>
      <w:r>
        <w:t>GREEMENT</w:t>
      </w:r>
      <w:bookmarkEnd w:id="145"/>
      <w:bookmarkEnd w:id="146"/>
      <w:bookmarkEnd w:id="147"/>
    </w:p>
    <w:p w14:paraId="64190E7E" w14:textId="77777777" w:rsidR="00B06F19" w:rsidRDefault="009A2766">
      <w:pPr>
        <w:pStyle w:val="Heading2"/>
        <w:rPr>
          <w:rFonts w:ascii="Arial" w:hAnsi="Arial" w:cs="Arial"/>
          <w:sz w:val="20"/>
        </w:rPr>
      </w:pPr>
      <w:r>
        <w:rPr>
          <w:rFonts w:ascii="Arial" w:hAnsi="Arial" w:cs="Arial"/>
          <w:sz w:val="20"/>
        </w:rPr>
        <w:t xml:space="preserve">This Agreement constitutes the entire agreement and understanding between the parties in respect of its subject matter and supersedes any previous agreement, warranty, statement, representation, understanding, or undertaking (in each case whether </w:t>
      </w:r>
      <w:r>
        <w:rPr>
          <w:rFonts w:ascii="Arial" w:hAnsi="Arial" w:cs="Arial"/>
          <w:sz w:val="20"/>
        </w:rPr>
        <w:t>written or oral) given or made before the date of this Agreement by, or on behalf of, the parties and relating to its subject matter.</w:t>
      </w:r>
    </w:p>
    <w:p w14:paraId="304DE312" w14:textId="77777777" w:rsidR="00B06F19" w:rsidRDefault="009A2766">
      <w:pPr>
        <w:pStyle w:val="Heading2"/>
        <w:rPr>
          <w:rFonts w:ascii="Arial" w:hAnsi="Arial" w:cs="Arial"/>
          <w:sz w:val="20"/>
        </w:rPr>
      </w:pPr>
      <w:r>
        <w:rPr>
          <w:rFonts w:ascii="Arial" w:hAnsi="Arial" w:cs="Arial"/>
          <w:sz w:val="20"/>
        </w:rPr>
        <w:t>Each party confirms that it has not relied upon, and shall have no remedy in respect of, any agreement, warranty, statemen</w:t>
      </w:r>
      <w:r>
        <w:rPr>
          <w:rFonts w:ascii="Arial" w:hAnsi="Arial" w:cs="Arial"/>
          <w:sz w:val="20"/>
        </w:rPr>
        <w:t xml:space="preserve">t, representation, understanding or undertaking made by any party (whether or not a party to this Agreement) unless that warranty, statement, representation, understanding or undertaking is expressly set out in this Agreement.  </w:t>
      </w:r>
    </w:p>
    <w:p w14:paraId="370D0793" w14:textId="77777777" w:rsidR="00B06F19" w:rsidRDefault="009A2766">
      <w:pPr>
        <w:pStyle w:val="Heading2"/>
        <w:rPr>
          <w:rFonts w:ascii="Arial" w:hAnsi="Arial" w:cs="Arial"/>
          <w:sz w:val="20"/>
        </w:rPr>
      </w:pPr>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w:instrText>
      </w:r>
      <w:r>
        <w:rPr>
          <w:rFonts w:ascii="Arial" w:hAnsi="Arial" w:cs="Arial"/>
          <w:sz w:val="20"/>
        </w:rPr>
        <w:instrText xml:space="preserve">529305724 \r \h  \* MERGEFORMAT </w:instrText>
      </w:r>
      <w:r>
        <w:rPr>
          <w:rFonts w:ascii="Arial" w:hAnsi="Arial" w:cs="Arial"/>
          <w:sz w:val="20"/>
        </w:rPr>
      </w:r>
      <w:r>
        <w:rPr>
          <w:rFonts w:ascii="Arial" w:hAnsi="Arial" w:cs="Arial"/>
          <w:sz w:val="20"/>
        </w:rPr>
        <w:fldChar w:fldCharType="separate"/>
      </w:r>
      <w:r>
        <w:rPr>
          <w:rFonts w:ascii="Arial" w:hAnsi="Arial" w:cs="Arial"/>
          <w:sz w:val="20"/>
        </w:rPr>
        <w:t>25.4</w:t>
      </w:r>
      <w:r>
        <w:rPr>
          <w:rFonts w:ascii="Arial" w:hAnsi="Arial" w:cs="Arial"/>
          <w:sz w:val="20"/>
        </w:rPr>
        <w:fldChar w:fldCharType="end"/>
      </w:r>
      <w:r>
        <w:rPr>
          <w:rFonts w:ascii="Arial" w:hAnsi="Arial" w:cs="Arial"/>
          <w:sz w:val="20"/>
        </w:rPr>
        <w:t>, neither party shall be entitled to the remedies of rescission or damages for misrepresentation arising out of, or in connection with, any agreement, w</w:t>
      </w:r>
      <w:r>
        <w:rPr>
          <w:rFonts w:ascii="Arial" w:hAnsi="Arial" w:cs="Arial"/>
          <w:sz w:val="20"/>
        </w:rPr>
        <w:t xml:space="preserve">arranty, </w:t>
      </w:r>
      <w:r>
        <w:rPr>
          <w:rFonts w:ascii="Arial" w:hAnsi="Arial" w:cs="Arial"/>
          <w:sz w:val="20"/>
        </w:rPr>
        <w:lastRenderedPageBreak/>
        <w:t>statement, representation, understanding or undertaking whether or not it is set out in this Agreement.</w:t>
      </w:r>
    </w:p>
    <w:p w14:paraId="09E86AAC" w14:textId="77777777" w:rsidR="00B06F19" w:rsidRDefault="009A2766">
      <w:pPr>
        <w:pStyle w:val="Heading2"/>
        <w:rPr>
          <w:rFonts w:ascii="Arial" w:hAnsi="Arial" w:cs="Arial"/>
          <w:sz w:val="20"/>
        </w:rPr>
      </w:pPr>
      <w:bookmarkStart w:id="148" w:name="_Ref259175225"/>
      <w:bookmarkStart w:id="149" w:name="_Ref529305724"/>
      <w:r>
        <w:rPr>
          <w:rFonts w:ascii="Arial" w:hAnsi="Arial" w:cs="Arial"/>
          <w:sz w:val="20"/>
        </w:rPr>
        <w:t xml:space="preserve">Nothing in this Agreement shall restrict or exclude any liability for (or remedy in respect of) fraud or fraudulent </w:t>
      </w:r>
      <w:r>
        <w:rPr>
          <w:rFonts w:ascii="Arial" w:hAnsi="Arial" w:cs="Arial"/>
          <w:sz w:val="20"/>
        </w:rPr>
        <w:t>misrepresentation.</w:t>
      </w:r>
      <w:bookmarkEnd w:id="148"/>
      <w:bookmarkEnd w:id="149"/>
    </w:p>
    <w:p w14:paraId="3450FAEA" w14:textId="77777777" w:rsidR="00B06F19" w:rsidRDefault="009A2766">
      <w:pPr>
        <w:pStyle w:val="Heading1"/>
      </w:pPr>
      <w:bookmarkStart w:id="150" w:name="_Toc422304001"/>
      <w:bookmarkStart w:id="151" w:name="_Toc8389586"/>
      <w:r>
        <w:t>COUNTERPARTS</w:t>
      </w:r>
      <w:bookmarkEnd w:id="150"/>
      <w:bookmarkEnd w:id="151"/>
    </w:p>
    <w:p w14:paraId="21B69FDA" w14:textId="77777777" w:rsidR="00B06F19" w:rsidRDefault="009A2766">
      <w:pPr>
        <w:pStyle w:val="Heading2"/>
        <w:rPr>
          <w:rFonts w:ascii="Arial" w:hAnsi="Arial" w:cs="Arial"/>
          <w:sz w:val="20"/>
        </w:rPr>
      </w:pPr>
      <w:r>
        <w:rPr>
          <w:rFonts w:ascii="Arial" w:hAnsi="Arial" w:cs="Arial"/>
          <w:sz w:val="20"/>
        </w:rPr>
        <w:t>This Agreement may be executed in any number of counterparts, and by the parties as separate counterparts but will not be effective until each party has executed at least one counterpart.</w:t>
      </w:r>
    </w:p>
    <w:p w14:paraId="761F348D" w14:textId="77777777" w:rsidR="00B06F19" w:rsidRDefault="009A2766">
      <w:pPr>
        <w:pStyle w:val="Heading2"/>
        <w:rPr>
          <w:rFonts w:ascii="Arial" w:hAnsi="Arial" w:cs="Arial"/>
          <w:sz w:val="20"/>
        </w:rPr>
      </w:pPr>
      <w:r>
        <w:rPr>
          <w:rFonts w:ascii="Arial" w:hAnsi="Arial" w:cs="Arial"/>
          <w:sz w:val="20"/>
        </w:rPr>
        <w:t>Each counterpart shall constitute an</w:t>
      </w:r>
      <w:r>
        <w:rPr>
          <w:rFonts w:ascii="Arial" w:hAnsi="Arial" w:cs="Arial"/>
          <w:sz w:val="20"/>
        </w:rPr>
        <w:t xml:space="preserve"> original of this Agreement, but all the counterparts shall together constitute one and the same Agreement.</w:t>
      </w:r>
    </w:p>
    <w:p w14:paraId="262FF491" w14:textId="77777777" w:rsidR="00B06F19" w:rsidRDefault="009A2766">
      <w:pPr>
        <w:pStyle w:val="Heading1"/>
      </w:pPr>
      <w:bookmarkStart w:id="152" w:name="_Ref419189694"/>
      <w:bookmarkStart w:id="153" w:name="_Ref419189826"/>
      <w:bookmarkStart w:id="154" w:name="_Toc422304012"/>
      <w:bookmarkStart w:id="155" w:name="_Toc8389587"/>
      <w:r>
        <w:t xml:space="preserve">GOVERNING LAW AND </w:t>
      </w:r>
      <w:bookmarkEnd w:id="152"/>
      <w:bookmarkEnd w:id="153"/>
      <w:bookmarkEnd w:id="154"/>
      <w:r>
        <w:t>JURISDICTION</w:t>
      </w:r>
      <w:bookmarkEnd w:id="155"/>
      <w:r>
        <w:t xml:space="preserve"> </w:t>
      </w:r>
    </w:p>
    <w:p w14:paraId="18C63585" w14:textId="77777777" w:rsidR="00B06F19" w:rsidRDefault="009A2766">
      <w:pPr>
        <w:pStyle w:val="Heading2"/>
        <w:rPr>
          <w:rFonts w:ascii="Arial" w:hAnsi="Arial" w:cs="Arial"/>
          <w:sz w:val="20"/>
        </w:rPr>
      </w:pPr>
      <w:bookmarkStart w:id="156" w:name="_Ref419187817"/>
      <w:bookmarkStart w:id="157" w:name="_Ref419191021"/>
      <w:r>
        <w:rPr>
          <w:rFonts w:ascii="Arial" w:hAnsi="Arial" w:cs="Arial"/>
          <w:sz w:val="20"/>
        </w:rPr>
        <w:t xml:space="preserve">This Agreement and any non-contractual obligations arising out of or in connection with it shall be governed by and </w:t>
      </w:r>
      <w:r>
        <w:rPr>
          <w:rFonts w:ascii="Arial" w:hAnsi="Arial" w:cs="Arial"/>
          <w:sz w:val="20"/>
        </w:rPr>
        <w:t>construed in accordance with the laws of England.</w:t>
      </w:r>
      <w:bookmarkEnd w:id="156"/>
      <w:bookmarkEnd w:id="157"/>
    </w:p>
    <w:p w14:paraId="06FFF6CD" w14:textId="77777777" w:rsidR="00B06F19" w:rsidRDefault="009A2766">
      <w:pPr>
        <w:pStyle w:val="Heading2"/>
        <w:rPr>
          <w:rFonts w:ascii="Arial" w:hAnsi="Arial" w:cs="Arial"/>
          <w:sz w:val="20"/>
        </w:rPr>
      </w:pPr>
      <w:r>
        <w:rPr>
          <w:rFonts w:ascii="Arial" w:hAnsi="Arial" w:cs="Arial"/>
          <w:sz w:val="20"/>
        </w:rPr>
        <w:t>Any dispute or claim arising out of or in connection with this Agreement or its subject matter or formation (including any non-contractual dispute or claim) shall be subject to the exclusive jurisdiction of</w:t>
      </w:r>
      <w:r>
        <w:rPr>
          <w:rFonts w:ascii="Arial" w:hAnsi="Arial" w:cs="Arial"/>
          <w:sz w:val="20"/>
        </w:rPr>
        <w:t xml:space="preserve"> the courts of England, and the parties hereby irrevocably submit to the exclusive jurisdiction of the courts of England for these purposes.</w:t>
      </w:r>
    </w:p>
    <w:p w14:paraId="24ABD4E4" w14:textId="77777777" w:rsidR="00B06F19" w:rsidRDefault="00B06F19">
      <w:pPr>
        <w:pStyle w:val="BodyTextIndent"/>
        <w:rPr>
          <w:rFonts w:ascii="Arial" w:hAnsi="Arial" w:cs="Arial"/>
          <w:sz w:val="20"/>
        </w:rPr>
      </w:pPr>
    </w:p>
    <w:p w14:paraId="6F12EE11" w14:textId="77777777" w:rsidR="00B06F19" w:rsidRDefault="009A2766">
      <w:pPr>
        <w:pStyle w:val="BodyTextIndent"/>
        <w:rPr>
          <w:rFonts w:ascii="Arial" w:hAnsi="Arial" w:cs="Arial"/>
          <w:sz w:val="20"/>
        </w:rPr>
      </w:pPr>
      <w:r>
        <w:rPr>
          <w:rFonts w:ascii="Arial" w:eastAsia="Arial" w:hAnsi="Arial" w:cs="Arial"/>
          <w:b/>
          <w:sz w:val="20"/>
          <w:lang w:eastAsia="en-GB"/>
        </w:rPr>
        <w:t>Execution</w:t>
      </w:r>
    </w:p>
    <w:p w14:paraId="4443E7B4" w14:textId="77777777" w:rsidR="00B06F19" w:rsidRDefault="009A2766">
      <w:pPr>
        <w:pStyle w:val="BodyTextIndent"/>
        <w:rPr>
          <w:rFonts w:ascii="Arial" w:hAnsi="Arial" w:cs="Arial"/>
          <w:sz w:val="20"/>
        </w:rPr>
      </w:pPr>
      <w:r>
        <w:rPr>
          <w:rFonts w:ascii="Arial" w:hAnsi="Arial" w:cs="Arial"/>
          <w:sz w:val="20"/>
        </w:rPr>
        <w:t>In witness of which the parties have executed this Agreement as follows:</w:t>
      </w:r>
    </w:p>
    <w:tbl>
      <w:tblPr>
        <w:tblW w:w="0" w:type="auto"/>
        <w:tblInd w:w="828" w:type="dxa"/>
        <w:tblLook w:val="0000" w:firstRow="0" w:lastRow="0" w:firstColumn="0" w:lastColumn="0" w:noHBand="0" w:noVBand="0"/>
      </w:tblPr>
      <w:tblGrid>
        <w:gridCol w:w="4854"/>
        <w:gridCol w:w="3284"/>
      </w:tblGrid>
      <w:tr w:rsidR="00B06F19" w14:paraId="2776F15A" w14:textId="77777777">
        <w:tc>
          <w:tcPr>
            <w:tcW w:w="4854" w:type="dxa"/>
            <w:tcBorders>
              <w:top w:val="single" w:sz="4" w:space="0" w:color="auto"/>
              <w:left w:val="single" w:sz="4" w:space="0" w:color="auto"/>
              <w:bottom w:val="single" w:sz="4" w:space="0" w:color="auto"/>
              <w:right w:val="single" w:sz="4" w:space="0" w:color="auto"/>
            </w:tcBorders>
          </w:tcPr>
          <w:p w14:paraId="7C1CC306"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 xml:space="preserve">insert full name </w:t>
            </w:r>
            <w:r>
              <w:rPr>
                <w:rFonts w:ascii="Arial" w:eastAsia="Arial" w:hAnsi="Arial" w:cs="Arial"/>
                <w:i/>
                <w:sz w:val="20"/>
                <w:szCs w:val="20"/>
                <w:lang w:eastAsia="en-GB"/>
              </w:rPr>
              <w:t>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7672A6D3"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B06F19" w14:paraId="353529EF" w14:textId="77777777">
        <w:tc>
          <w:tcPr>
            <w:tcW w:w="4854" w:type="dxa"/>
            <w:tcBorders>
              <w:left w:val="single" w:sz="4" w:space="0" w:color="auto"/>
              <w:bottom w:val="single" w:sz="4" w:space="0" w:color="auto"/>
              <w:right w:val="single" w:sz="4" w:space="0" w:color="auto"/>
            </w:tcBorders>
          </w:tcPr>
          <w:p w14:paraId="1915D78C"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75FAE521"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B06F19" w14:paraId="4832CFB2" w14:textId="77777777">
        <w:tc>
          <w:tcPr>
            <w:tcW w:w="4854" w:type="dxa"/>
            <w:tcBorders>
              <w:left w:val="single" w:sz="4" w:space="0" w:color="auto"/>
              <w:bottom w:val="single" w:sz="4" w:space="0" w:color="auto"/>
              <w:right w:val="single" w:sz="4" w:space="0" w:color="auto"/>
            </w:tcBorders>
          </w:tcPr>
          <w:p w14:paraId="539694E8"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Provider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52DB7560" w14:textId="77777777" w:rsidR="00B06F19" w:rsidRDefault="00B06F19">
            <w:pPr>
              <w:spacing w:before="120" w:after="240" w:line="276" w:lineRule="auto"/>
              <w:jc w:val="both"/>
              <w:rPr>
                <w:rFonts w:ascii="Arial" w:eastAsia="Arial" w:hAnsi="Arial" w:cs="Arial"/>
                <w:sz w:val="20"/>
                <w:szCs w:val="20"/>
                <w:lang w:eastAsia="en-GB"/>
              </w:rPr>
            </w:pPr>
          </w:p>
        </w:tc>
      </w:tr>
    </w:tbl>
    <w:p w14:paraId="6056C81D" w14:textId="77777777" w:rsidR="00B06F19" w:rsidRDefault="009A2766">
      <w:pPr>
        <w:spacing w:before="120" w:after="240" w:line="276" w:lineRule="auto"/>
        <w:ind w:firstLine="720"/>
        <w:jc w:val="both"/>
        <w:rPr>
          <w:rFonts w:ascii="Arial" w:eastAsia="Arial" w:hAnsi="Arial" w:cs="Arial"/>
          <w:sz w:val="20"/>
          <w:szCs w:val="20"/>
          <w:lang w:eastAsia="en-GB"/>
        </w:rPr>
      </w:pPr>
      <w:r>
        <w:rPr>
          <w:rFonts w:ascii="Arial" w:eastAsia="Arial" w:hAnsi="Arial" w:cs="Arial"/>
          <w:sz w:val="20"/>
          <w:szCs w:val="20"/>
          <w:lang w:eastAsia="en-GB"/>
        </w:rPr>
        <w:t>and</w:t>
      </w:r>
    </w:p>
    <w:tbl>
      <w:tblPr>
        <w:tblW w:w="0" w:type="auto"/>
        <w:tblInd w:w="828" w:type="dxa"/>
        <w:tblLook w:val="0000" w:firstRow="0" w:lastRow="0" w:firstColumn="0" w:lastColumn="0" w:noHBand="0" w:noVBand="0"/>
      </w:tblPr>
      <w:tblGrid>
        <w:gridCol w:w="4854"/>
        <w:gridCol w:w="3284"/>
      </w:tblGrid>
      <w:tr w:rsidR="00B06F19" w14:paraId="6D3FBAA8" w14:textId="77777777">
        <w:tc>
          <w:tcPr>
            <w:tcW w:w="4854" w:type="dxa"/>
            <w:tcBorders>
              <w:top w:val="single" w:sz="4" w:space="0" w:color="auto"/>
              <w:left w:val="single" w:sz="4" w:space="0" w:color="auto"/>
              <w:bottom w:val="single" w:sz="4" w:space="0" w:color="auto"/>
              <w:right w:val="single" w:sz="4" w:space="0" w:color="auto"/>
            </w:tcBorders>
          </w:tcPr>
          <w:p w14:paraId="7C47E250"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insert full name 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6CC218D6"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B06F19" w14:paraId="66209DB9" w14:textId="77777777">
        <w:tc>
          <w:tcPr>
            <w:tcW w:w="4854" w:type="dxa"/>
            <w:tcBorders>
              <w:left w:val="single" w:sz="4" w:space="0" w:color="auto"/>
              <w:bottom w:val="single" w:sz="4" w:space="0" w:color="auto"/>
              <w:right w:val="single" w:sz="4" w:space="0" w:color="auto"/>
            </w:tcBorders>
          </w:tcPr>
          <w:p w14:paraId="40E8B50B"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3A764422"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B06F19" w14:paraId="285A5BA5" w14:textId="77777777">
        <w:tc>
          <w:tcPr>
            <w:tcW w:w="4854" w:type="dxa"/>
            <w:tcBorders>
              <w:left w:val="single" w:sz="4" w:space="0" w:color="auto"/>
              <w:bottom w:val="single" w:sz="4" w:space="0" w:color="auto"/>
              <w:right w:val="single" w:sz="4" w:space="0" w:color="auto"/>
            </w:tcBorders>
          </w:tcPr>
          <w:p w14:paraId="0C4FA617" w14:textId="77777777" w:rsidR="00B06F19" w:rsidRDefault="009A2766">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Consumer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66A378B3" w14:textId="77777777" w:rsidR="00B06F19" w:rsidRDefault="00B06F19">
            <w:pPr>
              <w:spacing w:before="120" w:after="240" w:line="276" w:lineRule="auto"/>
              <w:jc w:val="both"/>
              <w:rPr>
                <w:rFonts w:ascii="Arial" w:eastAsia="Arial" w:hAnsi="Arial" w:cs="Arial"/>
                <w:sz w:val="20"/>
                <w:szCs w:val="20"/>
                <w:lang w:eastAsia="en-GB"/>
              </w:rPr>
            </w:pPr>
          </w:p>
        </w:tc>
      </w:tr>
    </w:tbl>
    <w:p w14:paraId="2D7AA302" w14:textId="77777777" w:rsidR="00B06F19" w:rsidRDefault="00B06F19">
      <w:pPr>
        <w:spacing w:before="120" w:after="120" w:line="276" w:lineRule="auto"/>
        <w:rPr>
          <w:rFonts w:ascii="Arial" w:eastAsia="Arial" w:hAnsi="Arial" w:cs="Arial"/>
          <w:sz w:val="20"/>
          <w:szCs w:val="20"/>
          <w:lang w:eastAsia="en-GB"/>
        </w:rPr>
      </w:pPr>
    </w:p>
    <w:p w14:paraId="54CC43F0" w14:textId="77777777" w:rsidR="00B06F19" w:rsidRDefault="009A2766">
      <w:pPr>
        <w:pStyle w:val="SchHead"/>
        <w:rPr>
          <w:sz w:val="20"/>
          <w:szCs w:val="20"/>
        </w:rPr>
      </w:pPr>
      <w:r>
        <w:rPr>
          <w:sz w:val="20"/>
          <w:szCs w:val="20"/>
        </w:rPr>
        <w:br w:type="page"/>
      </w:r>
      <w:bookmarkStart w:id="158" w:name="_Ref400117959"/>
      <w:bookmarkStart w:id="159" w:name="_Toc422304016"/>
      <w:bookmarkStart w:id="160" w:name="_Toc8389588"/>
      <w:r>
        <w:rPr>
          <w:sz w:val="20"/>
          <w:szCs w:val="20"/>
        </w:rPr>
        <w:lastRenderedPageBreak/>
        <w:t>DEFINITIONS</w:t>
      </w:r>
      <w:bookmarkEnd w:id="158"/>
      <w:bookmarkEnd w:id="159"/>
      <w:bookmarkEnd w:id="160"/>
    </w:p>
    <w:p w14:paraId="3B574194" w14:textId="77777777" w:rsidR="00B06F19" w:rsidRDefault="009A2766">
      <w:pPr>
        <w:pStyle w:val="ScheduleL1"/>
        <w:keepNext/>
        <w:numPr>
          <w:ilvl w:val="0"/>
          <w:numId w:val="15"/>
        </w:numPr>
        <w:rPr>
          <w:rFonts w:ascii="Arial" w:hAnsi="Arial" w:cs="Arial"/>
          <w:b/>
          <w:sz w:val="20"/>
        </w:rPr>
      </w:pPr>
      <w:r>
        <w:rPr>
          <w:rFonts w:ascii="Arial" w:hAnsi="Arial" w:cs="Arial"/>
          <w:b/>
          <w:sz w:val="20"/>
        </w:rPr>
        <w:t>Definitions</w:t>
      </w:r>
    </w:p>
    <w:p w14:paraId="1D7B9A1E" w14:textId="77777777" w:rsidR="00B06F19" w:rsidRDefault="009A2766">
      <w:pPr>
        <w:pStyle w:val="ScheduleL2"/>
        <w:keepNext/>
        <w:rPr>
          <w:rFonts w:ascii="Arial" w:hAnsi="Arial" w:cs="Arial"/>
          <w:sz w:val="20"/>
        </w:rPr>
      </w:pPr>
      <w:r>
        <w:rPr>
          <w:rFonts w:ascii="Arial" w:hAnsi="Arial" w:cs="Arial"/>
          <w:sz w:val="20"/>
        </w:rPr>
        <w:t>In this Agreement:</w:t>
      </w:r>
    </w:p>
    <w:tbl>
      <w:tblPr>
        <w:tblW w:w="0" w:type="auto"/>
        <w:tblLook w:val="04A0" w:firstRow="1" w:lastRow="0" w:firstColumn="1" w:lastColumn="0" w:noHBand="0" w:noVBand="1"/>
      </w:tblPr>
      <w:tblGrid>
        <w:gridCol w:w="1906"/>
        <w:gridCol w:w="7104"/>
      </w:tblGrid>
      <w:tr w:rsidR="00B06F19" w14:paraId="2435AE3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29D43216"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Additional Services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4C9250E1"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 augmentation of a Catalogue Solution </w:t>
            </w:r>
            <w:r>
              <w:rPr>
                <w:rFonts w:ascii="Arial" w:eastAsia="Times New Roman" w:hAnsi="Arial" w:cs="Arial"/>
                <w:color w:val="000000"/>
                <w:sz w:val="20"/>
                <w:szCs w:val="20"/>
                <w:lang w:eastAsia="en-GB"/>
              </w:rPr>
              <w:t>provided by a supplier that may have its own charges;</w:t>
            </w:r>
          </w:p>
        </w:tc>
      </w:tr>
      <w:tr w:rsidR="00B06F19" w14:paraId="3BD1F5C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3A6A4695"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API</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A22959A"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application programming Interface;</w:t>
            </w:r>
          </w:p>
        </w:tc>
      </w:tr>
      <w:tr w:rsidR="00B06F19" w14:paraId="6AEEE9C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00CDF1E4"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Benchmark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7C56635"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the Commercial Standard;</w:t>
            </w:r>
          </w:p>
        </w:tc>
      </w:tr>
      <w:tr w:rsidR="00B06F19" w14:paraId="4B12A95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6A8C4E16"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Business Day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39CA27F"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 day (other than a Saturday or Sunday) on which the banks are </w:t>
            </w:r>
            <w:r>
              <w:rPr>
                <w:rFonts w:ascii="Arial" w:eastAsia="Times New Roman" w:hAnsi="Arial" w:cs="Arial"/>
                <w:color w:val="000000"/>
                <w:sz w:val="20"/>
                <w:szCs w:val="20"/>
                <w:lang w:eastAsia="en-GB"/>
              </w:rPr>
              <w:t>ordinarily open for business in the City of London;</w:t>
            </w:r>
          </w:p>
        </w:tc>
      </w:tr>
      <w:tr w:rsidR="00B06F19" w14:paraId="623A34F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25F677B2"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7B5AB762"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digital catalogue (as may be referred to as the "Digital Buying Catalogue") used inter alia to support on-boarding and to advertise Catalogue Solution(s);</w:t>
            </w:r>
          </w:p>
        </w:tc>
      </w:tr>
      <w:tr w:rsidR="00B06F19" w14:paraId="515C073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6E0FE0FE"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Catalogue </w:t>
            </w:r>
            <w:r>
              <w:rPr>
                <w:rFonts w:ascii="Arial" w:eastAsia="Times New Roman" w:hAnsi="Arial" w:cs="Arial"/>
                <w:b/>
                <w:color w:val="000000"/>
                <w:sz w:val="20"/>
                <w:szCs w:val="20"/>
                <w:lang w:eastAsia="en-GB"/>
              </w:rPr>
              <w:t>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2375F9D"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agreement governing the Catalogue Solutions developed and maintained by the Provider Supplier relevant to this Agreement;  </w:t>
            </w:r>
          </w:p>
        </w:tc>
      </w:tr>
      <w:tr w:rsidR="00B06F19" w14:paraId="0B99F893"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28E9D14"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42CF403"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defined in the Catalogue Agreement;</w:t>
            </w:r>
          </w:p>
        </w:tc>
      </w:tr>
      <w:tr w:rsidR="00B06F19" w14:paraId="60FAD4E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CE1DEF1"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Solution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0329E96"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of the relevant suppli</w:t>
            </w:r>
            <w:r>
              <w:rPr>
                <w:rFonts w:ascii="Arial" w:eastAsia="Times New Roman" w:hAnsi="Arial" w:cs="Arial"/>
                <w:color w:val="000000"/>
                <w:sz w:val="20"/>
                <w:szCs w:val="20"/>
                <w:lang w:eastAsia="en-GB"/>
              </w:rPr>
              <w:t>er's services registered on the Catalogue, including Additional Services applicable to that product;</w:t>
            </w:r>
          </w:p>
        </w:tc>
      </w:tr>
      <w:tr w:rsidR="00B06F19" w14:paraId="1C14530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11C792CB"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Commencement Date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057318A"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date on the cover sheet of this Agreement;</w:t>
            </w:r>
          </w:p>
        </w:tc>
      </w:tr>
      <w:tr w:rsidR="00B06F19" w14:paraId="2470473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2C1E97E"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Commercial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4275838"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set of standards to regulate the conduct of the Prov</w:t>
            </w:r>
            <w:r>
              <w:rPr>
                <w:rFonts w:ascii="Arial" w:eastAsia="Times New Roman" w:hAnsi="Arial" w:cs="Arial"/>
                <w:color w:val="000000"/>
                <w:sz w:val="20"/>
                <w:szCs w:val="20"/>
                <w:lang w:eastAsia="en-GB"/>
              </w:rPr>
              <w:t>ider Supplier with respect to provision of the Interface within scope of this Agreement, including commercial and behavioural principles;</w:t>
            </w:r>
          </w:p>
        </w:tc>
      </w:tr>
      <w:tr w:rsidR="00B06F19" w14:paraId="310CE43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0267FD8B"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Confidential Information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A766FB2"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any information  that is disclosed (however conveyed), by one party (the </w:t>
            </w:r>
            <w:r>
              <w:rPr>
                <w:rFonts w:ascii="Arial" w:eastAsia="Times New Roman" w:hAnsi="Arial" w:cs="Arial"/>
                <w:b/>
                <w:color w:val="000000"/>
                <w:sz w:val="20"/>
                <w:szCs w:val="20"/>
                <w:lang w:eastAsia="en-GB"/>
              </w:rPr>
              <w:t>"Disclosing P</w:t>
            </w:r>
            <w:r>
              <w:rPr>
                <w:rFonts w:ascii="Arial" w:eastAsia="Times New Roman" w:hAnsi="Arial" w:cs="Arial"/>
                <w:b/>
                <w:color w:val="000000"/>
                <w:sz w:val="20"/>
                <w:szCs w:val="20"/>
                <w:lang w:eastAsia="en-GB"/>
              </w:rPr>
              <w:t>arty"</w:t>
            </w:r>
            <w:r>
              <w:rPr>
                <w:rFonts w:ascii="Arial" w:eastAsia="Times New Roman" w:hAnsi="Arial" w:cs="Arial"/>
                <w:color w:val="000000"/>
                <w:sz w:val="20"/>
                <w:szCs w:val="20"/>
                <w:lang w:eastAsia="en-GB"/>
              </w:rPr>
              <w:t xml:space="preserve">) to the other party (the </w:t>
            </w:r>
            <w:r>
              <w:rPr>
                <w:rFonts w:ascii="Arial" w:eastAsia="Times New Roman" w:hAnsi="Arial" w:cs="Arial"/>
                <w:b/>
                <w:color w:val="000000"/>
                <w:sz w:val="20"/>
                <w:szCs w:val="20"/>
                <w:lang w:eastAsia="en-GB"/>
              </w:rPr>
              <w:t>"Recipient"</w:t>
            </w:r>
            <w:r>
              <w:rPr>
                <w:rFonts w:ascii="Arial" w:eastAsia="Times New Roman" w:hAnsi="Arial" w:cs="Arial"/>
                <w:color w:val="000000"/>
                <w:sz w:val="20"/>
                <w:szCs w:val="20"/>
                <w:lang w:eastAsia="en-GB"/>
              </w:rPr>
              <w:t>) on or after the date of this Agreement which would appear to a reasonable business person to be confidential or is marked confidential, or is accompanied by a written or oral statement saying that it is confident</w:t>
            </w:r>
            <w:r>
              <w:rPr>
                <w:rFonts w:ascii="Arial" w:eastAsia="Times New Roman" w:hAnsi="Arial" w:cs="Arial"/>
                <w:color w:val="000000"/>
                <w:sz w:val="20"/>
                <w:szCs w:val="20"/>
                <w:lang w:eastAsia="en-GB"/>
              </w:rPr>
              <w:t>ial or proprietary and which relates to the business affairs of the Disclosing Party, including products, product information, operations, processes, plans or intentions, developments, trade secrets, know how, design rights, market opportunities, personnel</w:t>
            </w:r>
            <w:r>
              <w:rPr>
                <w:rFonts w:ascii="Arial" w:eastAsia="Times New Roman" w:hAnsi="Arial" w:cs="Arial"/>
                <w:color w:val="000000"/>
                <w:sz w:val="20"/>
                <w:szCs w:val="20"/>
                <w:lang w:eastAsia="en-GB"/>
              </w:rPr>
              <w:t xml:space="preserve">, customers and suppliers of the Disclosing Party, and all information derived from the above other than information that: </w:t>
            </w:r>
          </w:p>
          <w:p w14:paraId="5CA7F454" w14:textId="77777777" w:rsidR="00B06F19" w:rsidRDefault="009A2766">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was in the public domain at the time so disclosed (unless the information so disclosed was a compilation of such publicly available information in a form not previously known); </w:t>
            </w:r>
          </w:p>
          <w:p w14:paraId="3255243E" w14:textId="77777777" w:rsidR="00B06F19" w:rsidRDefault="009A2766">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passes into the public domain after it has been disclosed without the Recipient being in breach of any obligation of confidentiality; </w:t>
            </w:r>
          </w:p>
          <w:p w14:paraId="075C1D51" w14:textId="77777777" w:rsidR="00B06F19" w:rsidRDefault="009A2766">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Pr>
                <w:rFonts w:ascii="Arial" w:eastAsia="Times New Roman" w:hAnsi="Arial" w:cs="Arial"/>
                <w:color w:val="000000"/>
                <w:sz w:val="20"/>
                <w:szCs w:val="20"/>
                <w:lang w:eastAsia="en-GB"/>
              </w:rPr>
              <w:tab/>
              <w:t>is given to the Recipient by a third party who is lawfully entitled to disclose it and has no duty to respect any rig</w:t>
            </w:r>
            <w:r>
              <w:rPr>
                <w:rFonts w:ascii="Arial" w:eastAsia="Times New Roman" w:hAnsi="Arial" w:cs="Arial"/>
                <w:color w:val="000000"/>
                <w:sz w:val="20"/>
                <w:szCs w:val="20"/>
                <w:lang w:eastAsia="en-GB"/>
              </w:rPr>
              <w:t xml:space="preserve">ht of confidence in the information; </w:t>
            </w:r>
          </w:p>
          <w:p w14:paraId="73DD6824" w14:textId="77777777" w:rsidR="00B06F19" w:rsidRDefault="009A2766">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(d)</w:t>
            </w:r>
            <w:r>
              <w:rPr>
                <w:rFonts w:ascii="Arial" w:eastAsia="Times New Roman" w:hAnsi="Arial" w:cs="Arial"/>
                <w:color w:val="000000"/>
                <w:sz w:val="20"/>
                <w:szCs w:val="20"/>
                <w:lang w:eastAsia="en-GB"/>
              </w:rPr>
              <w:tab/>
              <w:t>was already known (or had been independently generated) by the Recipient prior to its receipt or disclosure; or</w:t>
            </w:r>
          </w:p>
          <w:p w14:paraId="0FF1245E" w14:textId="77777777" w:rsidR="00B06F19" w:rsidRDefault="009A2766">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ab/>
              <w:t>the parties agree in writing is not confidential;</w:t>
            </w:r>
          </w:p>
        </w:tc>
      </w:tr>
      <w:tr w:rsidR="00B06F19" w14:paraId="25AE219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69C096A"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Connection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B2215E1"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212121"/>
                <w:sz w:val="20"/>
                <w:szCs w:val="20"/>
              </w:rPr>
              <w:t>means the connection of different sy</w:t>
            </w:r>
            <w:r>
              <w:rPr>
                <w:rFonts w:ascii="Arial" w:eastAsia="Times New Roman" w:hAnsi="Arial" w:cs="Arial"/>
                <w:color w:val="212121"/>
                <w:sz w:val="20"/>
                <w:szCs w:val="20"/>
              </w:rPr>
              <w:t xml:space="preserve">stems so that once tested and implemented queries aimed at an Interface receive results returned following fulfilment of all criteria for the Interface and connection of the systems; </w:t>
            </w:r>
          </w:p>
        </w:tc>
      </w:tr>
      <w:tr w:rsidR="00B06F19" w14:paraId="5D68BA76"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244AA6CC"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Application</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EEDA1E5"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processes by which an entity applies t</w:t>
            </w:r>
            <w:r>
              <w:rPr>
                <w:rFonts w:ascii="Arial" w:eastAsia="Times New Roman" w:hAnsi="Arial" w:cs="Arial"/>
                <w:color w:val="000000"/>
                <w:sz w:val="20"/>
                <w:szCs w:val="20"/>
                <w:lang w:eastAsia="en-GB"/>
              </w:rPr>
              <w:t>o gain a live Connection to the Provider Supplier's Interface;</w:t>
            </w:r>
          </w:p>
        </w:tc>
      </w:tr>
      <w:tr w:rsidR="00B06F19" w14:paraId="766BD5A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5C62CC4"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212121"/>
                <w:sz w:val="20"/>
                <w:szCs w:val="20"/>
              </w:rPr>
              <w:t xml:space="preserve">Connection Go Live Date </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EB02441" w14:textId="77777777" w:rsidR="00B06F19" w:rsidRDefault="009A2766">
            <w:pPr>
              <w:spacing w:before="120" w:after="120"/>
              <w:rPr>
                <w:rFonts w:ascii="Arial" w:eastAsia="Times New Roman" w:hAnsi="Arial" w:cs="Arial"/>
                <w:color w:val="000000"/>
                <w:sz w:val="20"/>
                <w:szCs w:val="20"/>
                <w:lang w:eastAsia="en-GB"/>
              </w:rPr>
            </w:pPr>
            <w:r>
              <w:rPr>
                <w:rFonts w:ascii="Arial" w:hAnsi="Arial" w:cs="Arial"/>
                <w:sz w:val="20"/>
                <w:szCs w:val="20"/>
              </w:rPr>
              <w:t xml:space="preserve">means the date on which queries aimed at the relevant Interface, for the relevant Connection, start to receive results in a live environment following </w:t>
            </w:r>
            <w:r>
              <w:rPr>
                <w:rFonts w:ascii="Arial" w:hAnsi="Arial" w:cs="Arial"/>
                <w:sz w:val="20"/>
                <w:szCs w:val="20"/>
              </w:rPr>
              <w:t>fulfilment of all criteria for the Interface and connection of the relevant systems, as confirmed by the Provider Supplier issuing a certificate;</w:t>
            </w:r>
          </w:p>
        </w:tc>
      </w:tr>
      <w:tr w:rsidR="00B06F19" w14:paraId="223A4AA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1EFAA27"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Witness Test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25F6F37"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tests described in the SCAL; </w:t>
            </w:r>
          </w:p>
        </w:tc>
      </w:tr>
      <w:tr w:rsidR="00B06F19" w14:paraId="046B730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314FA372"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CRTPA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73E19AA"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has the meaning given in </w:t>
            </w:r>
            <w:r>
              <w:rPr>
                <w:rFonts w:ascii="Arial" w:eastAsia="Times New Roman" w:hAnsi="Arial" w:cs="Arial"/>
                <w:color w:val="000000"/>
                <w:sz w:val="20"/>
                <w:szCs w:val="20"/>
                <w:lang w:eastAsia="en-GB"/>
              </w:rPr>
              <w:t>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_Ref8216928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23.2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B06F19" w14:paraId="02885AC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9281547"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Controller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1C520CF"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natural or legal person, public authority, agency or other body which, alone or jointly with others, </w:t>
            </w:r>
            <w:r>
              <w:rPr>
                <w:rFonts w:ascii="Arial" w:eastAsia="Times New Roman" w:hAnsi="Arial" w:cs="Arial"/>
                <w:color w:val="000000"/>
                <w:sz w:val="20"/>
                <w:szCs w:val="20"/>
                <w:lang w:eastAsia="en-GB"/>
              </w:rPr>
              <w:t>determines the purposes and means of the Processing of Personal Data;</w:t>
            </w:r>
          </w:p>
        </w:tc>
      </w:tr>
      <w:tr w:rsidR="00B06F19" w14:paraId="7A802EF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440F32E7"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Laws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62091A5" w14:textId="77777777" w:rsidR="00B06F19" w:rsidRDefault="009A2766">
            <w:pPr>
              <w:pStyle w:val="DefinitionNumbering1"/>
              <w:numPr>
                <w:ilvl w:val="0"/>
                <w:numId w:val="0"/>
              </w:numPr>
              <w:spacing w:before="120" w:after="120"/>
              <w:jc w:val="left"/>
              <w:rPr>
                <w:rFonts w:ascii="Arial" w:eastAsia="Times New Roman" w:hAnsi="Arial" w:cs="Arial"/>
                <w:color w:val="212121"/>
                <w:sz w:val="20"/>
                <w:lang w:eastAsia="en-US"/>
              </w:rPr>
            </w:pPr>
            <w:r>
              <w:rPr>
                <w:rFonts w:ascii="Arial" w:eastAsia="Times New Roman" w:hAnsi="Arial" w:cs="Arial"/>
                <w:color w:val="000000"/>
                <w:sz w:val="20"/>
                <w:lang w:eastAsia="en-GB"/>
              </w:rPr>
              <w:t>means applicable legislation protecting the fundamental rights and freedoms of individuals, in respect of their right to privacy and the processing of their persona</w:t>
            </w:r>
            <w:r>
              <w:rPr>
                <w:rFonts w:ascii="Arial" w:eastAsia="Times New Roman" w:hAnsi="Arial" w:cs="Arial"/>
                <w:color w:val="000000"/>
                <w:sz w:val="20"/>
                <w:lang w:eastAsia="en-GB"/>
              </w:rPr>
              <w:t>l data, as amended from time to time, including Regulation (EU)_2016/679, 'the General Data Protection Regulation' (</w:t>
            </w:r>
            <w:r>
              <w:rPr>
                <w:rFonts w:ascii="Arial" w:eastAsia="Times New Roman" w:hAnsi="Arial" w:cs="Arial"/>
                <w:b/>
                <w:color w:val="000000"/>
                <w:sz w:val="20"/>
                <w:lang w:eastAsia="en-GB"/>
              </w:rPr>
              <w:t>"GDPR"</w:t>
            </w:r>
            <w:r>
              <w:rPr>
                <w:rFonts w:ascii="Arial" w:eastAsia="Times New Roman" w:hAnsi="Arial" w:cs="Arial"/>
                <w:color w:val="000000"/>
                <w:sz w:val="20"/>
                <w:lang w:eastAsia="en-GB"/>
              </w:rPr>
              <w:t>) and the Data Protection Act 2018 and the Privacy and Electronic Communications Regulations 2003, together with decisions, guidelines</w:t>
            </w:r>
            <w:r>
              <w:rPr>
                <w:rFonts w:ascii="Arial" w:eastAsia="Times New Roman" w:hAnsi="Arial" w:cs="Arial"/>
                <w:color w:val="000000"/>
                <w:sz w:val="20"/>
                <w:lang w:eastAsia="en-GB"/>
              </w:rPr>
              <w:t xml:space="preserve">, guidance notes and codes of practice issued from time to time by courts, data protection authorities and other applicable Government authorities (and the terms "Controller", </w:t>
            </w:r>
            <w:r>
              <w:rPr>
                <w:rFonts w:ascii="Arial" w:eastAsia="Times New Roman" w:hAnsi="Arial" w:cs="Arial"/>
                <w:color w:val="212121"/>
                <w:sz w:val="20"/>
                <w:lang w:eastAsia="en-US"/>
              </w:rPr>
              <w:t>"Processor", "Data Subject", "Personal Data Breach", "process/processing" and "S</w:t>
            </w:r>
            <w:r>
              <w:rPr>
                <w:rFonts w:ascii="Arial" w:eastAsia="Times New Roman" w:hAnsi="Arial" w:cs="Arial"/>
                <w:color w:val="212121"/>
                <w:sz w:val="20"/>
                <w:lang w:eastAsia="en-US"/>
              </w:rPr>
              <w:t>upervisory Authority" shall have the meanings given to them in the Data Protection Laws);</w:t>
            </w:r>
          </w:p>
        </w:tc>
      </w:tr>
      <w:tr w:rsidR="00B06F19" w14:paraId="21302F40"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2295E91C"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Losses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6C1C9FED" w14:textId="77777777" w:rsidR="00B06F19" w:rsidRDefault="009A2766">
            <w:pPr>
              <w:pStyle w:val="DefinitionNumbering1"/>
              <w:numPr>
                <w:ilvl w:val="0"/>
                <w:numId w:val="0"/>
              </w:numPr>
              <w:spacing w:before="120" w:after="120"/>
              <w:jc w:val="left"/>
              <w:rPr>
                <w:rFonts w:ascii="Arial" w:eastAsia="Times New Roman" w:hAnsi="Arial" w:cs="Arial"/>
                <w:color w:val="000000"/>
                <w:sz w:val="20"/>
                <w:lang w:eastAsia="en-GB"/>
              </w:rPr>
            </w:pPr>
            <w:r>
              <w:rPr>
                <w:rFonts w:ascii="Arial" w:eastAsia="Times New Roman" w:hAnsi="Arial" w:cs="Arial"/>
                <w:color w:val="000000"/>
                <w:sz w:val="20"/>
                <w:lang w:eastAsia="en-GB"/>
              </w:rPr>
              <w:t xml:space="preserve">has the meaning given in clause </w:t>
            </w:r>
            <w:r>
              <w:rPr>
                <w:rFonts w:ascii="Arial" w:eastAsia="Times New Roman" w:hAnsi="Arial" w:cs="Arial"/>
                <w:color w:val="000000"/>
                <w:sz w:val="20"/>
                <w:lang w:eastAsia="en-GB"/>
              </w:rPr>
              <w:fldChar w:fldCharType="begin"/>
            </w:r>
            <w:r>
              <w:rPr>
                <w:rFonts w:ascii="Arial" w:eastAsia="Times New Roman" w:hAnsi="Arial" w:cs="Arial"/>
                <w:color w:val="000000"/>
                <w:sz w:val="20"/>
                <w:lang w:eastAsia="en-GB"/>
              </w:rPr>
              <w:instrText xml:space="preserve"> REF _Ref2869083 \r \h </w:instrText>
            </w:r>
            <w:r>
              <w:rPr>
                <w:rFonts w:ascii="Arial" w:eastAsia="Times New Roman" w:hAnsi="Arial" w:cs="Arial"/>
                <w:color w:val="000000"/>
                <w:sz w:val="20"/>
                <w:lang w:eastAsia="en-GB"/>
              </w:rPr>
            </w:r>
            <w:r>
              <w:rPr>
                <w:rFonts w:ascii="Arial" w:eastAsia="Times New Roman" w:hAnsi="Arial" w:cs="Arial"/>
                <w:color w:val="000000"/>
                <w:sz w:val="20"/>
                <w:lang w:eastAsia="en-GB"/>
              </w:rPr>
              <w:fldChar w:fldCharType="separate"/>
            </w:r>
            <w:r>
              <w:rPr>
                <w:rFonts w:ascii="Arial" w:eastAsia="Times New Roman" w:hAnsi="Arial" w:cs="Arial"/>
                <w:color w:val="000000"/>
                <w:sz w:val="20"/>
                <w:lang w:eastAsia="en-GB"/>
              </w:rPr>
              <w:t>9</w:t>
            </w:r>
            <w:r>
              <w:rPr>
                <w:rFonts w:ascii="Arial" w:eastAsia="Times New Roman" w:hAnsi="Arial" w:cs="Arial"/>
                <w:color w:val="000000"/>
                <w:sz w:val="20"/>
                <w:lang w:eastAsia="en-GB"/>
              </w:rPr>
              <w:fldChar w:fldCharType="end"/>
            </w:r>
            <w:r>
              <w:rPr>
                <w:rFonts w:ascii="Arial" w:eastAsia="Times New Roman" w:hAnsi="Arial" w:cs="Arial"/>
                <w:color w:val="000000"/>
                <w:sz w:val="20"/>
                <w:lang w:eastAsia="en-GB"/>
              </w:rPr>
              <w:t xml:space="preserve"> of this Agreement;</w:t>
            </w:r>
          </w:p>
        </w:tc>
      </w:tr>
      <w:tr w:rsidR="00B06F19" w14:paraId="4E260AC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091704F"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Dispute Notice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68E5A2B"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_Ref8216963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17.2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B06F19" w14:paraId="34878CE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4791299"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Fair Usage Policy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3CB2CEE"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Fair Usage Policy set out at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_Ref2780976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 the contents of which shall be populated and confirmed as part of the Catalogue onboarding procedure;</w:t>
            </w:r>
          </w:p>
        </w:tc>
      </w:tr>
      <w:tr w:rsidR="00B06F19" w14:paraId="363F3AE3"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4F34C5EB"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Force Majeure Event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6999FF7"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event which is beyond the reasonable contr</w:t>
            </w:r>
            <w:r>
              <w:rPr>
                <w:rFonts w:ascii="Arial" w:eastAsia="Times New Roman" w:hAnsi="Arial" w:cs="Arial"/>
                <w:color w:val="000000"/>
                <w:sz w:val="20"/>
                <w:szCs w:val="20"/>
                <w:lang w:eastAsia="en-GB"/>
              </w:rPr>
              <w:t xml:space="preserve">ol of  the affected party and includes (insofar as it is beyond such control) an event which falls into one or more of the following categories: </w:t>
            </w:r>
          </w:p>
          <w:p w14:paraId="3E9A872B" w14:textId="77777777" w:rsidR="00B06F19" w:rsidRDefault="009A2766">
            <w:pPr>
              <w:pStyle w:val="DefinitionNumbering1"/>
              <w:ind w:left="749" w:hanging="749"/>
              <w:rPr>
                <w:rFonts w:ascii="Arial" w:hAnsi="Arial" w:cs="Arial"/>
                <w:sz w:val="20"/>
              </w:rPr>
            </w:pPr>
            <w:r>
              <w:rPr>
                <w:rFonts w:ascii="Arial" w:hAnsi="Arial" w:cs="Arial"/>
                <w:sz w:val="20"/>
              </w:rPr>
              <w:t>strike, lock out, work stoppages, or any other industrial or labour dispute (excluding, in all cases, by the e</w:t>
            </w:r>
            <w:r>
              <w:rPr>
                <w:rFonts w:ascii="Arial" w:hAnsi="Arial" w:cs="Arial"/>
                <w:sz w:val="20"/>
              </w:rPr>
              <w:t xml:space="preserve">mployees of the party liable to effect performance or its sub contractors or suppliers); </w:t>
            </w:r>
          </w:p>
          <w:p w14:paraId="49405E8D" w14:textId="77777777" w:rsidR="00B06F19" w:rsidRDefault="009A2766">
            <w:pPr>
              <w:pStyle w:val="DefinitionNumbering1"/>
              <w:ind w:left="749" w:hanging="749"/>
              <w:rPr>
                <w:rFonts w:ascii="Arial" w:hAnsi="Arial" w:cs="Arial"/>
                <w:sz w:val="20"/>
              </w:rPr>
            </w:pPr>
            <w:bookmarkStart w:id="161" w:name="_Ref8217112"/>
            <w:r>
              <w:rPr>
                <w:rFonts w:ascii="Arial" w:hAnsi="Arial" w:cs="Arial"/>
                <w:sz w:val="20"/>
              </w:rPr>
              <w:t>act of God, fire, flood, storm, earthquake;</w:t>
            </w:r>
            <w:bookmarkEnd w:id="161"/>
            <w:r>
              <w:rPr>
                <w:rFonts w:ascii="Arial" w:hAnsi="Arial" w:cs="Arial"/>
                <w:sz w:val="20"/>
              </w:rPr>
              <w:t xml:space="preserve"> </w:t>
            </w:r>
          </w:p>
          <w:p w14:paraId="45783092" w14:textId="77777777" w:rsidR="00B06F19" w:rsidRDefault="009A2766">
            <w:pPr>
              <w:pStyle w:val="DefinitionNumbering1"/>
              <w:ind w:left="749" w:hanging="749"/>
              <w:rPr>
                <w:rFonts w:ascii="Arial" w:hAnsi="Arial" w:cs="Arial"/>
                <w:sz w:val="20"/>
              </w:rPr>
            </w:pPr>
            <w:r>
              <w:rPr>
                <w:rFonts w:ascii="Arial" w:hAnsi="Arial" w:cs="Arial"/>
                <w:sz w:val="20"/>
              </w:rPr>
              <w:lastRenderedPageBreak/>
              <w:t xml:space="preserve">war, riot, civil commotion, terrorism; </w:t>
            </w:r>
          </w:p>
          <w:p w14:paraId="2EEC39B7" w14:textId="77777777" w:rsidR="00B06F19" w:rsidRDefault="009A2766">
            <w:pPr>
              <w:pStyle w:val="DefinitionNumbering1"/>
              <w:ind w:left="749" w:hanging="749"/>
              <w:rPr>
                <w:rFonts w:ascii="Arial" w:hAnsi="Arial" w:cs="Arial"/>
                <w:sz w:val="20"/>
              </w:rPr>
            </w:pPr>
            <w:r>
              <w:rPr>
                <w:rFonts w:ascii="Arial" w:hAnsi="Arial" w:cs="Arial"/>
                <w:sz w:val="20"/>
              </w:rPr>
              <w:t>nuclear, chemical or biological contamination or sonic boom;</w:t>
            </w:r>
          </w:p>
          <w:p w14:paraId="376EF1CE"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provided that the mere shortage of material, equipment, labour or supplies and any event or other consequences arising as a result of or in connection with the full or partial withdrawal of the United Kingdom from the European Union will not constitute a F</w:t>
            </w:r>
            <w:r>
              <w:rPr>
                <w:rFonts w:ascii="Arial" w:eastAsia="Times New Roman" w:hAnsi="Arial" w:cs="Arial"/>
                <w:color w:val="000000"/>
                <w:sz w:val="20"/>
                <w:szCs w:val="20"/>
                <w:lang w:eastAsia="en-GB"/>
              </w:rPr>
              <w:t xml:space="preserve">orce Majeure Event unless this shortage is caused by events or circumstances which are themselves a Force Majeure Event; </w:t>
            </w:r>
          </w:p>
        </w:tc>
      </w:tr>
      <w:tr w:rsidR="00B06F19" w14:paraId="0282A2C9"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32C2E225" w14:textId="77777777" w:rsidR="00B06F19" w:rsidRDefault="009A2766">
            <w:pPr>
              <w:keepNext/>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Framework 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96A6A72" w14:textId="77777777" w:rsidR="00B06F19" w:rsidRDefault="009A2766">
            <w:pPr>
              <w:keepNext/>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framework agreement that the relevant supplier is a party to that links to the Catalogue, which shall i</w:t>
            </w:r>
            <w:r>
              <w:rPr>
                <w:rFonts w:ascii="Arial" w:eastAsia="Times New Roman" w:hAnsi="Arial" w:cs="Arial"/>
                <w:color w:val="000000"/>
                <w:sz w:val="20"/>
                <w:szCs w:val="20"/>
                <w:lang w:eastAsia="en-GB"/>
              </w:rPr>
              <w:t>nclude the clauses together with the schedules and any appendices and annexes to the same;</w:t>
            </w:r>
          </w:p>
        </w:tc>
      </w:tr>
      <w:tr w:rsidR="00B06F19" w14:paraId="33D266E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68ABA6CC"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Framework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C2ADFA4"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party (other than the Supplier) to a Framework Agreement;</w:t>
            </w:r>
          </w:p>
        </w:tc>
      </w:tr>
      <w:tr w:rsidR="00B06F19" w14:paraId="4A723BF0"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9C27AF8"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General Data Protection Regulation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4F447C6"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same meaning as in the Da</w:t>
            </w:r>
            <w:r>
              <w:rPr>
                <w:rFonts w:ascii="Arial" w:eastAsia="Times New Roman" w:hAnsi="Arial" w:cs="Arial"/>
                <w:color w:val="000000"/>
                <w:sz w:val="20"/>
                <w:szCs w:val="20"/>
                <w:lang w:eastAsia="en-GB"/>
              </w:rPr>
              <w:t>ta Protection Laws definition;</w:t>
            </w:r>
          </w:p>
        </w:tc>
      </w:tr>
      <w:tr w:rsidR="00B06F19" w14:paraId="1C6D508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1B724B32"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Intellectual Property Rights or “IPR”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ABB6AF3"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all intellectual property rights, including:</w:t>
            </w:r>
          </w:p>
          <w:p w14:paraId="53029F14" w14:textId="77777777" w:rsidR="00B06F19" w:rsidRDefault="009A2766">
            <w:pPr>
              <w:pStyle w:val="DefinitionNumbering1"/>
              <w:numPr>
                <w:ilvl w:val="2"/>
                <w:numId w:val="29"/>
              </w:numPr>
              <w:tabs>
                <w:tab w:val="clear" w:pos="1800"/>
              </w:tabs>
              <w:ind w:left="749" w:hanging="749"/>
              <w:rPr>
                <w:rFonts w:ascii="Arial" w:hAnsi="Arial" w:cs="Arial"/>
                <w:sz w:val="20"/>
              </w:rPr>
            </w:pPr>
            <w:bookmarkStart w:id="162" w:name="_Ref8217074"/>
            <w:r>
              <w:rPr>
                <w:rFonts w:ascii="Arial" w:hAnsi="Arial" w:cs="Arial"/>
                <w:sz w:val="20"/>
              </w:rPr>
              <w:t xml:space="preserve">patents, utility models, supplementary protection certificates, petty patents, rights in trade secrets and other </w:t>
            </w:r>
            <w:r>
              <w:rPr>
                <w:rFonts w:ascii="Arial" w:hAnsi="Arial" w:cs="Arial"/>
                <w:sz w:val="20"/>
              </w:rPr>
              <w:t>confidential or undisclosed information (such as inventions (whether patentable or not) or know how), plant variety rights, registered designs, rights in copyright (including authors' and neighbouring or related rights and moral rights), database rights, d</w:t>
            </w:r>
            <w:r>
              <w:rPr>
                <w:rFonts w:ascii="Arial" w:hAnsi="Arial" w:cs="Arial"/>
                <w:sz w:val="20"/>
              </w:rPr>
              <w:t>esign rights, semiconductor topography rights, mask work rights, trade marks and service marks;</w:t>
            </w:r>
            <w:bookmarkEnd w:id="162"/>
          </w:p>
          <w:p w14:paraId="269DA1F3" w14:textId="77777777" w:rsidR="00B06F19" w:rsidRDefault="009A2766">
            <w:pPr>
              <w:pStyle w:val="DefinitionNumbering1"/>
              <w:tabs>
                <w:tab w:val="clear" w:pos="1800"/>
              </w:tabs>
              <w:ind w:left="749" w:hanging="749"/>
              <w:rPr>
                <w:rFonts w:ascii="Arial" w:hAnsi="Arial" w:cs="Arial"/>
                <w:sz w:val="20"/>
              </w:rPr>
            </w:pPr>
            <w:bookmarkStart w:id="163" w:name="_Ref8217080"/>
            <w:r>
              <w:rPr>
                <w:rFonts w:ascii="Arial" w:hAnsi="Arial" w:cs="Arial"/>
                <w:sz w:val="20"/>
              </w:rPr>
              <w:t>all registrations or applications to register any of the items referred to in paragraph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and</w:t>
            </w:r>
            <w:bookmarkEnd w:id="163"/>
          </w:p>
          <w:p w14:paraId="085ABF66" w14:textId="77777777" w:rsidR="00B06F19" w:rsidRDefault="009A2766">
            <w:pPr>
              <w:pStyle w:val="DefinitionNumbering1"/>
              <w:tabs>
                <w:tab w:val="clear" w:pos="1800"/>
              </w:tabs>
              <w:ind w:left="749" w:hanging="749"/>
              <w:rPr>
                <w:rFonts w:ascii="Arial" w:eastAsia="Times New Roman" w:hAnsi="Arial" w:cs="Arial"/>
                <w:color w:val="000000"/>
                <w:sz w:val="20"/>
                <w:lang w:eastAsia="en-GB"/>
              </w:rPr>
            </w:pPr>
            <w:r>
              <w:rPr>
                <w:rFonts w:ascii="Arial" w:hAnsi="Arial" w:cs="Arial"/>
                <w:sz w:val="20"/>
              </w:rPr>
              <w:t>all rights in the nature of any of the items referred to in paragraphs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xml:space="preserve">  or </w:t>
            </w:r>
            <w:r>
              <w:rPr>
                <w:rFonts w:ascii="Arial" w:hAnsi="Arial" w:cs="Arial"/>
                <w:sz w:val="20"/>
              </w:rPr>
              <w:fldChar w:fldCharType="begin"/>
            </w:r>
            <w:r>
              <w:rPr>
                <w:rFonts w:ascii="Arial" w:hAnsi="Arial" w:cs="Arial"/>
                <w:sz w:val="20"/>
              </w:rPr>
              <w:instrText xml:space="preserve"> REF _Ref8217080 \w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 xml:space="preserve">  including extensions, continuations, continuations in part and divisional applications, rights in the nature of reputation, personality or image, trade names, business names, brand names, get </w:t>
            </w:r>
            <w:r>
              <w:rPr>
                <w:rFonts w:ascii="Arial" w:hAnsi="Arial" w:cs="Arial"/>
                <w:sz w:val="20"/>
              </w:rPr>
              <w:t xml:space="preserve">up, logos, domain names and URLs, rights in unfair competition rights and, without prejudice to anything set out elsewhere in this definition, rights to sue for passing off, and all rights having equivalent or similar effect to, and the right to apply for </w:t>
            </w:r>
            <w:r>
              <w:rPr>
                <w:rFonts w:ascii="Arial" w:hAnsi="Arial" w:cs="Arial"/>
                <w:sz w:val="20"/>
              </w:rPr>
              <w:t>any of, the rights referred to in this definition in any jurisdiction;</w:t>
            </w:r>
          </w:p>
        </w:tc>
      </w:tr>
      <w:tr w:rsidR="00B06F19" w14:paraId="606BB0B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8B7CFF2"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EB13C86"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one or more of the open application programming Interfaces (APIs) and other system Interfaces mandated by the Interoperability Standard;</w:t>
            </w:r>
          </w:p>
        </w:tc>
      </w:tr>
      <w:tr w:rsidR="00B06F19" w14:paraId="2991BDA3"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1E66C2EF"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Interoperability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751009F"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w:t>
            </w:r>
            <w:r>
              <w:rPr>
                <w:rFonts w:ascii="Arial" w:eastAsia="Times New Roman" w:hAnsi="Arial" w:cs="Arial"/>
                <w:color w:val="000000"/>
                <w:sz w:val="20"/>
                <w:szCs w:val="20"/>
                <w:lang w:eastAsia="en-GB"/>
              </w:rPr>
              <w:t xml:space="preserve">s the mandatory standards for supplier to supplier system Interfaces, set by the Catalogue Authority as a condition of the contractual arrangements connected with the Catalogue managed by the Catalogue Authority, to support the opening up of access to NHS </w:t>
            </w:r>
            <w:r>
              <w:rPr>
                <w:rFonts w:ascii="Arial" w:eastAsia="Times New Roman" w:hAnsi="Arial" w:cs="Arial"/>
                <w:color w:val="000000"/>
                <w:sz w:val="20"/>
                <w:szCs w:val="20"/>
                <w:lang w:eastAsia="en-GB"/>
              </w:rPr>
              <w:t>Data across clinical services;</w:t>
            </w:r>
          </w:p>
        </w:tc>
      </w:tr>
      <w:tr w:rsidR="00B06F19" w14:paraId="055EFB0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724E2F1"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NHS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D231164"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clinical data, care provision data and other operational data, including Personal Data, which is generated and recorded through health and care delivery; </w:t>
            </w:r>
          </w:p>
        </w:tc>
      </w:tr>
      <w:tr w:rsidR="00B06F19" w14:paraId="6474BD56"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7D00864"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NHS Digital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2DEB28D"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Health and Social Care </w:t>
            </w:r>
            <w:r>
              <w:rPr>
                <w:rFonts w:ascii="Arial" w:eastAsia="Times New Roman" w:hAnsi="Arial" w:cs="Arial"/>
                <w:color w:val="000000"/>
                <w:sz w:val="20"/>
                <w:szCs w:val="20"/>
                <w:lang w:eastAsia="en-GB"/>
              </w:rPr>
              <w:t>Information Centre or any successor or replacement body;</w:t>
            </w:r>
          </w:p>
        </w:tc>
      </w:tr>
      <w:tr w:rsidR="00B06F19" w14:paraId="5474E0A6"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6D907EA8"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Personal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B57DAE1"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meaning given to it in the Data Protection Laws and applies to personal data which may be shared and/or processed via the Interface(s) to which this Agreement relates;</w:t>
            </w:r>
          </w:p>
        </w:tc>
      </w:tr>
      <w:tr w:rsidR="00B06F19" w14:paraId="57E63C2A"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22DB2443"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Processor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4C0ADDA7"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 natural or legal person, public authority, agency or other body which processes Personal Data on behalf of a Controller;</w:t>
            </w:r>
          </w:p>
        </w:tc>
      </w:tr>
      <w:tr w:rsidR="00B06F19" w14:paraId="61799DA0"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369EF1B2"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Provider Supplier's 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AAB1CB9"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open application programming Interface (API) or other methods for system Inte</w:t>
            </w:r>
            <w:r>
              <w:rPr>
                <w:rFonts w:ascii="Arial" w:eastAsia="Times New Roman" w:hAnsi="Arial" w:cs="Arial"/>
                <w:color w:val="000000"/>
                <w:sz w:val="20"/>
                <w:szCs w:val="20"/>
                <w:lang w:eastAsia="en-GB"/>
              </w:rPr>
              <w:t>rfaces mandated by the Catalogue Authority's Interoperability Standard, which is a condition of contractual arrangements connected with the Catalogue managed by the Catalogue Authority;</w:t>
            </w:r>
          </w:p>
        </w:tc>
      </w:tr>
      <w:tr w:rsidR="00B06F19" w14:paraId="22BF9C6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11A0FAB7"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Recommendation To Connect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7BEEE0F"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notice of authority to proceed by the Catalogue Authority at the relevant point in Connection Applications; </w:t>
            </w:r>
          </w:p>
        </w:tc>
      </w:tr>
      <w:tr w:rsidR="00B06F19" w14:paraId="7F05AB8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2BDFE4ED" w14:textId="77777777" w:rsidR="00B06F19" w:rsidRDefault="009A2766">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Supplier Conformance Assessment List or “SCAL”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75E12D7" w14:textId="77777777" w:rsidR="00B06F19" w:rsidRDefault="009A2766">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Supplier Conformance Assessment List set out in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_Ref8216705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w:t>
            </w:r>
          </w:p>
        </w:tc>
      </w:tr>
    </w:tbl>
    <w:p w14:paraId="179249B0" w14:textId="77777777" w:rsidR="00B06F19" w:rsidRDefault="00B06F19">
      <w:pPr>
        <w:pStyle w:val="DefinitionNumbering1"/>
        <w:numPr>
          <w:ilvl w:val="0"/>
          <w:numId w:val="0"/>
        </w:numPr>
        <w:ind w:left="4860"/>
        <w:jc w:val="left"/>
        <w:rPr>
          <w:rFonts w:ascii="Arial" w:hAnsi="Arial" w:cs="Arial"/>
          <w:sz w:val="20"/>
        </w:rPr>
      </w:pPr>
    </w:p>
    <w:p w14:paraId="6221B14A" w14:textId="77777777" w:rsidR="00B06F19" w:rsidRDefault="00B06F19">
      <w:pPr>
        <w:pStyle w:val="Quote"/>
        <w:rPr>
          <w:rFonts w:ascii="Arial" w:hAnsi="Arial" w:cs="Arial"/>
          <w:sz w:val="20"/>
          <w:szCs w:val="20"/>
        </w:rPr>
      </w:pPr>
    </w:p>
    <w:p w14:paraId="419B413E" w14:textId="77777777" w:rsidR="00B06F19" w:rsidRDefault="009A2766">
      <w:pPr>
        <w:pStyle w:val="SchHead"/>
        <w:rPr>
          <w:sz w:val="20"/>
          <w:szCs w:val="20"/>
        </w:rPr>
      </w:pPr>
      <w:r>
        <w:br w:type="page"/>
      </w:r>
      <w:bookmarkStart w:id="164" w:name="_Ref8217132"/>
      <w:bookmarkStart w:id="165" w:name="_Toc8389589"/>
      <w:r>
        <w:rPr>
          <w:sz w:val="20"/>
          <w:szCs w:val="20"/>
        </w:rPr>
        <w:lastRenderedPageBreak/>
        <w:t>Interface SErvices</w:t>
      </w:r>
      <w:bookmarkEnd w:id="164"/>
      <w:bookmarkEnd w:id="165"/>
    </w:p>
    <w:tbl>
      <w:tblPr>
        <w:tblStyle w:val="TableGrid"/>
        <w:tblW w:w="0" w:type="auto"/>
        <w:tblLook w:val="04A0" w:firstRow="1" w:lastRow="0" w:firstColumn="1" w:lastColumn="0" w:noHBand="0" w:noVBand="1"/>
      </w:tblPr>
      <w:tblGrid>
        <w:gridCol w:w="3078"/>
        <w:gridCol w:w="3079"/>
        <w:gridCol w:w="3079"/>
      </w:tblGrid>
      <w:tr w:rsidR="00B06F19" w14:paraId="490EAC13" w14:textId="77777777">
        <w:tc>
          <w:tcPr>
            <w:tcW w:w="3078" w:type="dxa"/>
          </w:tcPr>
          <w:p w14:paraId="7C22CDCC" w14:textId="77777777" w:rsidR="00B06F19" w:rsidRDefault="009A2766">
            <w:pPr>
              <w:pStyle w:val="Table-Text"/>
              <w:rPr>
                <w:rFonts w:ascii="Arial" w:hAnsi="Arial" w:cs="Arial"/>
                <w:b/>
                <w:sz w:val="20"/>
              </w:rPr>
            </w:pPr>
            <w:r>
              <w:rPr>
                <w:rFonts w:ascii="Arial" w:hAnsi="Arial" w:cs="Arial"/>
                <w:b/>
                <w:sz w:val="20"/>
              </w:rPr>
              <w:t>INTERFACE</w:t>
            </w:r>
          </w:p>
        </w:tc>
        <w:tc>
          <w:tcPr>
            <w:tcW w:w="3079" w:type="dxa"/>
          </w:tcPr>
          <w:p w14:paraId="5E3E08FD" w14:textId="77777777" w:rsidR="00B06F19" w:rsidRDefault="009A2766">
            <w:pPr>
              <w:pStyle w:val="Table-Text"/>
              <w:rPr>
                <w:rFonts w:ascii="Arial" w:hAnsi="Arial" w:cs="Arial"/>
                <w:b/>
                <w:sz w:val="20"/>
              </w:rPr>
            </w:pPr>
            <w:r>
              <w:rPr>
                <w:rFonts w:ascii="Arial" w:hAnsi="Arial" w:cs="Arial"/>
                <w:b/>
                <w:sz w:val="20"/>
              </w:rPr>
              <w:t>CONNECTED [Y/N]</w:t>
            </w:r>
          </w:p>
        </w:tc>
        <w:tc>
          <w:tcPr>
            <w:tcW w:w="3079" w:type="dxa"/>
          </w:tcPr>
          <w:p w14:paraId="0CEBB1BF" w14:textId="77777777" w:rsidR="00B06F19" w:rsidRDefault="009A2766">
            <w:pPr>
              <w:pStyle w:val="Table-Text"/>
              <w:rPr>
                <w:rFonts w:ascii="Arial" w:hAnsi="Arial" w:cs="Arial"/>
                <w:b/>
                <w:sz w:val="20"/>
              </w:rPr>
            </w:pPr>
            <w:r>
              <w:rPr>
                <w:rFonts w:ascii="Arial" w:hAnsi="Arial" w:cs="Arial"/>
                <w:b/>
                <w:sz w:val="20"/>
              </w:rPr>
              <w:t>LIVE USAGE DATE</w:t>
            </w:r>
          </w:p>
        </w:tc>
      </w:tr>
      <w:tr w:rsidR="00B06F19" w14:paraId="021FDE46" w14:textId="77777777">
        <w:tc>
          <w:tcPr>
            <w:tcW w:w="3078" w:type="dxa"/>
          </w:tcPr>
          <w:p w14:paraId="52EC3DE0" w14:textId="77777777" w:rsidR="00B06F19" w:rsidRDefault="009A2766">
            <w:pPr>
              <w:pStyle w:val="Table-Text"/>
              <w:rPr>
                <w:rFonts w:ascii="Arial" w:hAnsi="Arial" w:cs="Arial"/>
                <w:sz w:val="20"/>
              </w:rPr>
            </w:pPr>
            <w:r>
              <w:rPr>
                <w:rFonts w:ascii="Arial" w:hAnsi="Arial" w:cs="Arial"/>
                <w:sz w:val="20"/>
              </w:rPr>
              <w:t>IM1 (Desktop)</w:t>
            </w:r>
          </w:p>
        </w:tc>
        <w:tc>
          <w:tcPr>
            <w:tcW w:w="3079" w:type="dxa"/>
          </w:tcPr>
          <w:p w14:paraId="4C0EA692" w14:textId="77777777" w:rsidR="00B06F19" w:rsidRDefault="00B06F19">
            <w:pPr>
              <w:pStyle w:val="Table-Text"/>
              <w:rPr>
                <w:rFonts w:ascii="Arial" w:hAnsi="Arial" w:cs="Arial"/>
                <w:sz w:val="20"/>
              </w:rPr>
            </w:pPr>
          </w:p>
        </w:tc>
        <w:tc>
          <w:tcPr>
            <w:tcW w:w="3079" w:type="dxa"/>
          </w:tcPr>
          <w:p w14:paraId="691913F7" w14:textId="77777777" w:rsidR="00B06F19" w:rsidRDefault="00B06F19">
            <w:pPr>
              <w:pStyle w:val="Table-Text"/>
              <w:rPr>
                <w:rFonts w:ascii="Arial" w:hAnsi="Arial" w:cs="Arial"/>
                <w:sz w:val="20"/>
              </w:rPr>
            </w:pPr>
          </w:p>
        </w:tc>
      </w:tr>
      <w:tr w:rsidR="00B06F19" w14:paraId="148D8FC2" w14:textId="77777777">
        <w:tc>
          <w:tcPr>
            <w:tcW w:w="3078" w:type="dxa"/>
          </w:tcPr>
          <w:p w14:paraId="1B9EDA5B" w14:textId="77777777" w:rsidR="00B06F19" w:rsidRDefault="009A2766">
            <w:pPr>
              <w:pStyle w:val="Table-Text"/>
              <w:rPr>
                <w:rFonts w:ascii="Arial" w:hAnsi="Arial" w:cs="Arial"/>
                <w:sz w:val="20"/>
              </w:rPr>
            </w:pPr>
            <w:r>
              <w:rPr>
                <w:rFonts w:ascii="Arial" w:hAnsi="Arial" w:cs="Arial"/>
                <w:sz w:val="20"/>
              </w:rPr>
              <w:t>IM1 (PFS)</w:t>
            </w:r>
          </w:p>
        </w:tc>
        <w:tc>
          <w:tcPr>
            <w:tcW w:w="3079" w:type="dxa"/>
          </w:tcPr>
          <w:p w14:paraId="382B8E02" w14:textId="77777777" w:rsidR="00B06F19" w:rsidRDefault="00B06F19">
            <w:pPr>
              <w:pStyle w:val="Table-Text"/>
              <w:rPr>
                <w:rFonts w:ascii="Arial" w:hAnsi="Arial" w:cs="Arial"/>
                <w:sz w:val="20"/>
              </w:rPr>
            </w:pPr>
          </w:p>
        </w:tc>
        <w:tc>
          <w:tcPr>
            <w:tcW w:w="3079" w:type="dxa"/>
          </w:tcPr>
          <w:p w14:paraId="79F3AF00" w14:textId="77777777" w:rsidR="00B06F19" w:rsidRDefault="00B06F19">
            <w:pPr>
              <w:pStyle w:val="Table-Text"/>
              <w:rPr>
                <w:rFonts w:ascii="Arial" w:hAnsi="Arial" w:cs="Arial"/>
                <w:sz w:val="20"/>
              </w:rPr>
            </w:pPr>
          </w:p>
        </w:tc>
      </w:tr>
      <w:tr w:rsidR="00B06F19" w14:paraId="11090562" w14:textId="77777777">
        <w:tc>
          <w:tcPr>
            <w:tcW w:w="3078" w:type="dxa"/>
          </w:tcPr>
          <w:p w14:paraId="15D0C997" w14:textId="77777777" w:rsidR="00B06F19" w:rsidRDefault="009A2766">
            <w:pPr>
              <w:pStyle w:val="Table-Text"/>
              <w:rPr>
                <w:rFonts w:ascii="Arial" w:hAnsi="Arial" w:cs="Arial"/>
                <w:sz w:val="20"/>
              </w:rPr>
            </w:pPr>
            <w:r>
              <w:rPr>
                <w:rFonts w:ascii="Arial" w:hAnsi="Arial" w:cs="Arial"/>
                <w:sz w:val="20"/>
              </w:rPr>
              <w:t>IM1 (Bulk)</w:t>
            </w:r>
          </w:p>
        </w:tc>
        <w:tc>
          <w:tcPr>
            <w:tcW w:w="3079" w:type="dxa"/>
          </w:tcPr>
          <w:p w14:paraId="05D25D9B" w14:textId="77777777" w:rsidR="00B06F19" w:rsidRDefault="00B06F19">
            <w:pPr>
              <w:pStyle w:val="Table-Text"/>
              <w:rPr>
                <w:rFonts w:ascii="Arial" w:hAnsi="Arial" w:cs="Arial"/>
                <w:sz w:val="20"/>
              </w:rPr>
            </w:pPr>
          </w:p>
        </w:tc>
        <w:tc>
          <w:tcPr>
            <w:tcW w:w="3079" w:type="dxa"/>
          </w:tcPr>
          <w:p w14:paraId="725DBC2D" w14:textId="77777777" w:rsidR="00B06F19" w:rsidRDefault="00B06F19">
            <w:pPr>
              <w:pStyle w:val="Table-Text"/>
              <w:rPr>
                <w:rFonts w:ascii="Arial" w:hAnsi="Arial" w:cs="Arial"/>
                <w:sz w:val="20"/>
              </w:rPr>
            </w:pPr>
          </w:p>
        </w:tc>
      </w:tr>
      <w:tr w:rsidR="00B06F19" w14:paraId="39533AC2" w14:textId="77777777">
        <w:tc>
          <w:tcPr>
            <w:tcW w:w="3078" w:type="dxa"/>
          </w:tcPr>
          <w:p w14:paraId="22203DF8" w14:textId="77777777" w:rsidR="00B06F19" w:rsidRDefault="00B06F19">
            <w:pPr>
              <w:pStyle w:val="Table-Text"/>
              <w:rPr>
                <w:rFonts w:ascii="Arial" w:hAnsi="Arial" w:cs="Arial"/>
                <w:sz w:val="20"/>
              </w:rPr>
            </w:pPr>
          </w:p>
        </w:tc>
        <w:tc>
          <w:tcPr>
            <w:tcW w:w="3079" w:type="dxa"/>
          </w:tcPr>
          <w:p w14:paraId="49F623DE" w14:textId="77777777" w:rsidR="00B06F19" w:rsidRDefault="00B06F19">
            <w:pPr>
              <w:pStyle w:val="Table-Text"/>
              <w:rPr>
                <w:rFonts w:ascii="Arial" w:hAnsi="Arial" w:cs="Arial"/>
                <w:sz w:val="20"/>
              </w:rPr>
            </w:pPr>
          </w:p>
        </w:tc>
        <w:tc>
          <w:tcPr>
            <w:tcW w:w="3079" w:type="dxa"/>
          </w:tcPr>
          <w:p w14:paraId="02CACE26" w14:textId="77777777" w:rsidR="00B06F19" w:rsidRDefault="00B06F19">
            <w:pPr>
              <w:pStyle w:val="Table-Text"/>
              <w:rPr>
                <w:rFonts w:ascii="Arial" w:hAnsi="Arial" w:cs="Arial"/>
                <w:sz w:val="20"/>
              </w:rPr>
            </w:pPr>
          </w:p>
        </w:tc>
      </w:tr>
      <w:tr w:rsidR="00B06F19" w14:paraId="472CC554" w14:textId="77777777">
        <w:tc>
          <w:tcPr>
            <w:tcW w:w="3078" w:type="dxa"/>
          </w:tcPr>
          <w:p w14:paraId="4901EBBC" w14:textId="77777777" w:rsidR="00B06F19" w:rsidRDefault="00B06F19">
            <w:pPr>
              <w:pStyle w:val="Table-Text"/>
              <w:rPr>
                <w:rFonts w:ascii="Arial" w:hAnsi="Arial" w:cs="Arial"/>
                <w:sz w:val="20"/>
              </w:rPr>
            </w:pPr>
          </w:p>
        </w:tc>
        <w:tc>
          <w:tcPr>
            <w:tcW w:w="3079" w:type="dxa"/>
          </w:tcPr>
          <w:p w14:paraId="69BD722C" w14:textId="77777777" w:rsidR="00B06F19" w:rsidRDefault="00B06F19">
            <w:pPr>
              <w:pStyle w:val="Table-Text"/>
              <w:rPr>
                <w:rFonts w:ascii="Arial" w:hAnsi="Arial" w:cs="Arial"/>
                <w:sz w:val="20"/>
              </w:rPr>
            </w:pPr>
          </w:p>
        </w:tc>
        <w:tc>
          <w:tcPr>
            <w:tcW w:w="3079" w:type="dxa"/>
          </w:tcPr>
          <w:p w14:paraId="23D1EAE3" w14:textId="77777777" w:rsidR="00B06F19" w:rsidRDefault="00B06F19">
            <w:pPr>
              <w:pStyle w:val="Table-Text"/>
              <w:rPr>
                <w:rFonts w:ascii="Arial" w:hAnsi="Arial" w:cs="Arial"/>
                <w:sz w:val="20"/>
              </w:rPr>
            </w:pPr>
          </w:p>
        </w:tc>
      </w:tr>
      <w:tr w:rsidR="00B06F19" w14:paraId="78C7F389" w14:textId="77777777">
        <w:tc>
          <w:tcPr>
            <w:tcW w:w="3078" w:type="dxa"/>
          </w:tcPr>
          <w:p w14:paraId="1B9B1091" w14:textId="77777777" w:rsidR="00B06F19" w:rsidRDefault="00B06F19">
            <w:pPr>
              <w:pStyle w:val="Table-Text"/>
              <w:rPr>
                <w:rFonts w:ascii="Arial" w:hAnsi="Arial" w:cs="Arial"/>
                <w:sz w:val="20"/>
              </w:rPr>
            </w:pPr>
          </w:p>
        </w:tc>
        <w:tc>
          <w:tcPr>
            <w:tcW w:w="3079" w:type="dxa"/>
          </w:tcPr>
          <w:p w14:paraId="26D7577B" w14:textId="77777777" w:rsidR="00B06F19" w:rsidRDefault="00B06F19">
            <w:pPr>
              <w:pStyle w:val="Table-Text"/>
              <w:rPr>
                <w:rFonts w:ascii="Arial" w:hAnsi="Arial" w:cs="Arial"/>
                <w:sz w:val="20"/>
              </w:rPr>
            </w:pPr>
          </w:p>
        </w:tc>
        <w:tc>
          <w:tcPr>
            <w:tcW w:w="3079" w:type="dxa"/>
          </w:tcPr>
          <w:p w14:paraId="2E43C421" w14:textId="77777777" w:rsidR="00B06F19" w:rsidRDefault="00B06F19">
            <w:pPr>
              <w:pStyle w:val="Table-Text"/>
              <w:rPr>
                <w:rFonts w:ascii="Arial" w:hAnsi="Arial" w:cs="Arial"/>
                <w:sz w:val="20"/>
              </w:rPr>
            </w:pPr>
          </w:p>
        </w:tc>
      </w:tr>
    </w:tbl>
    <w:p w14:paraId="29D6CEE6" w14:textId="77777777" w:rsidR="00B06F19" w:rsidRDefault="009A2766">
      <w:pPr>
        <w:pStyle w:val="SchHead"/>
        <w:rPr>
          <w:sz w:val="20"/>
          <w:szCs w:val="20"/>
        </w:rPr>
      </w:pPr>
      <w:r>
        <w:br w:type="page"/>
      </w:r>
      <w:r>
        <w:rPr>
          <w:sz w:val="20"/>
          <w:szCs w:val="20"/>
        </w:rPr>
        <w:lastRenderedPageBreak/>
        <w:t xml:space="preserve"> </w:t>
      </w:r>
      <w:bookmarkStart w:id="166" w:name="_Ref2783772"/>
      <w:bookmarkStart w:id="167" w:name="_Ref8216705"/>
      <w:bookmarkStart w:id="168" w:name="_Toc8389590"/>
      <w:r>
        <w:rPr>
          <w:sz w:val="20"/>
          <w:szCs w:val="20"/>
        </w:rPr>
        <w:t xml:space="preserve">Supplier </w:t>
      </w:r>
      <w:r>
        <w:rPr>
          <w:sz w:val="20"/>
          <w:szCs w:val="20"/>
        </w:rPr>
        <w:t>Conformance Assessment List (SCAL</w:t>
      </w:r>
      <w:bookmarkEnd w:id="166"/>
      <w:r>
        <w:rPr>
          <w:sz w:val="20"/>
          <w:szCs w:val="20"/>
        </w:rPr>
        <w:t>)</w:t>
      </w:r>
      <w:bookmarkEnd w:id="167"/>
      <w:bookmarkEnd w:id="168"/>
    </w:p>
    <w:p w14:paraId="30CC1869" w14:textId="77777777" w:rsidR="00B06F19" w:rsidRDefault="009A2766">
      <w:pPr>
        <w:jc w:val="center"/>
        <w:rPr>
          <w:rFonts w:ascii="Arial" w:hAnsi="Arial" w:cs="Arial"/>
          <w:sz w:val="20"/>
          <w:szCs w:val="20"/>
        </w:rPr>
      </w:pPr>
      <w:r>
        <w:rPr>
          <w:rFonts w:ascii="Arial" w:hAnsi="Arial" w:cs="Arial"/>
          <w:sz w:val="20"/>
          <w:szCs w:val="20"/>
        </w:rPr>
        <w:t>[Drafting Note: SCAL to be inserted. / Link to template]</w:t>
      </w:r>
    </w:p>
    <w:p w14:paraId="20D1393B" w14:textId="77777777" w:rsidR="00B06F19" w:rsidRDefault="00B06F19">
      <w:pPr>
        <w:rPr>
          <w:rFonts w:ascii="Arial" w:hAnsi="Arial" w:cs="Arial"/>
          <w:sz w:val="20"/>
          <w:szCs w:val="20"/>
        </w:rPr>
      </w:pPr>
    </w:p>
    <w:p w14:paraId="158D520B" w14:textId="77777777" w:rsidR="00B06F19" w:rsidRDefault="009A2766">
      <w:r>
        <w:br w:type="page"/>
      </w:r>
      <w:bookmarkStart w:id="169" w:name="_Ref2783792"/>
      <w:bookmarkStart w:id="170" w:name="_Ref2784266"/>
      <w:bookmarkStart w:id="171" w:name="_Toc8389591"/>
    </w:p>
    <w:p w14:paraId="69914004" w14:textId="77777777" w:rsidR="00B06F19" w:rsidRDefault="009A2766">
      <w:pPr>
        <w:pStyle w:val="SchHead"/>
        <w:rPr>
          <w:sz w:val="20"/>
          <w:szCs w:val="20"/>
        </w:rPr>
      </w:pPr>
      <w:r>
        <w:rPr>
          <w:sz w:val="20"/>
          <w:szCs w:val="20"/>
        </w:rPr>
        <w:lastRenderedPageBreak/>
        <w:t>Charges</w:t>
      </w:r>
    </w:p>
    <w:bookmarkEnd w:id="169"/>
    <w:bookmarkEnd w:id="170"/>
    <w:bookmarkEnd w:id="171"/>
    <w:p w14:paraId="0451D95C" w14:textId="77777777" w:rsidR="00B06F19" w:rsidRDefault="00B06F19">
      <w:pPr>
        <w:pStyle w:val="SchPart"/>
        <w:numPr>
          <w:ilvl w:val="0"/>
          <w:numId w:val="0"/>
        </w:numPr>
        <w:jc w:val="left"/>
        <w:rPr>
          <w:rFonts w:ascii="Arial" w:hAnsi="Arial" w:cs="Arial"/>
          <w:caps/>
          <w:sz w:val="20"/>
        </w:rPr>
      </w:pPr>
    </w:p>
    <w:p w14:paraId="530C5438" w14:textId="77777777" w:rsidR="00B06F19" w:rsidRDefault="009A2766">
      <w:pPr>
        <w:pStyle w:val="MarginText"/>
        <w:rPr>
          <w:rFonts w:ascii="Arial" w:hAnsi="Arial" w:cs="Arial"/>
          <w:sz w:val="20"/>
        </w:rPr>
      </w:pPr>
      <w:r>
        <w:rPr>
          <w:rFonts w:ascii="Arial" w:hAnsi="Arial" w:cs="Arial"/>
          <w:sz w:val="20"/>
        </w:rPr>
        <w:t xml:space="preserve">[Not Used] </w:t>
      </w:r>
    </w:p>
    <w:p w14:paraId="1B07D238" w14:textId="77777777" w:rsidR="00B06F19" w:rsidRDefault="009A2766">
      <w:pPr>
        <w:pStyle w:val="MarginText"/>
        <w:rPr>
          <w:rFonts w:ascii="Arial" w:hAnsi="Arial" w:cs="Arial"/>
          <w:sz w:val="20"/>
        </w:rPr>
      </w:pPr>
      <w:r>
        <w:rPr>
          <w:rFonts w:ascii="Arial" w:hAnsi="Arial" w:cs="Arial"/>
          <w:sz w:val="20"/>
        </w:rPr>
        <w:t>or</w:t>
      </w:r>
    </w:p>
    <w:p w14:paraId="16187B13" w14:textId="77777777" w:rsidR="00B06F19" w:rsidRDefault="009A2766">
      <w:pPr>
        <w:pStyle w:val="MarginText"/>
        <w:rPr>
          <w:rFonts w:ascii="Arial" w:hAnsi="Arial" w:cs="Arial"/>
          <w:sz w:val="20"/>
        </w:rPr>
      </w:pPr>
      <w:r>
        <w:rPr>
          <w:rFonts w:ascii="Arial" w:hAnsi="Arial" w:cs="Arial"/>
          <w:sz w:val="20"/>
        </w:rPr>
        <w:t>[As negotiated between the parties]</w:t>
      </w:r>
    </w:p>
    <w:p w14:paraId="44363B61" w14:textId="77777777" w:rsidR="00B06F19" w:rsidRDefault="009A2766">
      <w:pPr>
        <w:pStyle w:val="SchHead"/>
        <w:rPr>
          <w:sz w:val="20"/>
          <w:szCs w:val="20"/>
        </w:rPr>
      </w:pPr>
      <w:r>
        <w:br w:type="page"/>
      </w:r>
      <w:bookmarkStart w:id="172" w:name="_Ref2780976"/>
      <w:bookmarkStart w:id="173" w:name="_Toc8389592"/>
      <w:r>
        <w:rPr>
          <w:sz w:val="20"/>
          <w:szCs w:val="20"/>
        </w:rPr>
        <w:lastRenderedPageBreak/>
        <w:t>Fair Usage Policy</w:t>
      </w:r>
      <w:bookmarkEnd w:id="172"/>
      <w:bookmarkEnd w:id="173"/>
    </w:p>
    <w:p w14:paraId="6F90C9E8" w14:textId="77777777" w:rsidR="00B06F19" w:rsidRDefault="009A2766">
      <w:pPr>
        <w:pStyle w:val="ScheduleL1"/>
        <w:keepNext/>
        <w:numPr>
          <w:ilvl w:val="0"/>
          <w:numId w:val="0"/>
        </w:numPr>
        <w:ind w:left="720"/>
        <w:rPr>
          <w:rFonts w:ascii="Arial" w:hAnsi="Arial" w:cs="Arial"/>
          <w:b/>
          <w:sz w:val="20"/>
        </w:rPr>
      </w:pPr>
      <w:r>
        <w:rPr>
          <w:rFonts w:ascii="Arial" w:hAnsi="Arial" w:cs="Arial"/>
          <w:b/>
          <w:sz w:val="20"/>
        </w:rPr>
        <w:t xml:space="preserve">[Drafting Note: Individual Fair Usage Policy to be agreed as On Boarding exercise </w:t>
      </w:r>
      <w:r>
        <w:rPr>
          <w:rFonts w:ascii="Arial" w:hAnsi="Arial" w:cs="Arial"/>
          <w:b/>
          <w:sz w:val="20"/>
        </w:rPr>
        <w:t>&amp; to be inserted here when complete]</w:t>
      </w:r>
    </w:p>
    <w:p w14:paraId="209EC909" w14:textId="77777777" w:rsidR="00B06F19" w:rsidRDefault="009A2766">
      <w:pPr>
        <w:pStyle w:val="ScheduleL1"/>
        <w:keepNext/>
        <w:numPr>
          <w:ilvl w:val="0"/>
          <w:numId w:val="30"/>
        </w:numPr>
        <w:rPr>
          <w:rFonts w:ascii="Arial" w:hAnsi="Arial" w:cs="Arial"/>
          <w:b/>
          <w:sz w:val="20"/>
        </w:rPr>
      </w:pPr>
      <w:r>
        <w:rPr>
          <w:rFonts w:ascii="Arial" w:hAnsi="Arial" w:cs="Arial"/>
          <w:b/>
          <w:sz w:val="20"/>
        </w:rPr>
        <w:t>Scope and Purpose</w:t>
      </w:r>
    </w:p>
    <w:p w14:paraId="06932C93" w14:textId="77777777" w:rsidR="00B06F19" w:rsidRDefault="009A2766">
      <w:pPr>
        <w:pStyle w:val="ScheduleL2"/>
        <w:keepNext/>
        <w:rPr>
          <w:rFonts w:ascii="Arial" w:hAnsi="Arial" w:cs="Arial"/>
          <w:sz w:val="20"/>
        </w:rPr>
      </w:pPr>
      <w:r>
        <w:rPr>
          <w:rFonts w:ascii="Arial" w:hAnsi="Arial" w:cs="Arial"/>
          <w:sz w:val="20"/>
        </w:rPr>
        <w:t>This Fair Usage Policy covers each of the Interfaces listed below;</w:t>
      </w:r>
    </w:p>
    <w:p w14:paraId="5721AFC2" w14:textId="77777777" w:rsidR="00B06F19" w:rsidRDefault="009A2766">
      <w:pPr>
        <w:pStyle w:val="ScheduleL3"/>
        <w:ind w:left="1620" w:hanging="900"/>
        <w:rPr>
          <w:rFonts w:ascii="Arial" w:hAnsi="Arial" w:cs="Arial"/>
          <w:sz w:val="20"/>
        </w:rPr>
      </w:pPr>
      <w:r>
        <w:rPr>
          <w:rFonts w:ascii="Arial" w:hAnsi="Arial" w:cs="Arial"/>
          <w:sz w:val="20"/>
        </w:rPr>
        <w:t>IM1 Bulk Interface</w:t>
      </w:r>
    </w:p>
    <w:p w14:paraId="426093B2" w14:textId="77777777" w:rsidR="00B06F19" w:rsidRDefault="009A2766">
      <w:pPr>
        <w:pStyle w:val="ScheduleL3"/>
        <w:ind w:left="1620" w:hanging="900"/>
        <w:rPr>
          <w:rFonts w:ascii="Arial" w:hAnsi="Arial" w:cs="Arial"/>
          <w:sz w:val="20"/>
        </w:rPr>
      </w:pPr>
      <w:r>
        <w:rPr>
          <w:rFonts w:ascii="Arial" w:hAnsi="Arial" w:cs="Arial"/>
          <w:sz w:val="20"/>
        </w:rPr>
        <w:t>IM1 Desktop Interface</w:t>
      </w:r>
    </w:p>
    <w:p w14:paraId="0E0EF4ED" w14:textId="77777777" w:rsidR="00B06F19" w:rsidRDefault="009A2766">
      <w:pPr>
        <w:pStyle w:val="ScheduleL3"/>
        <w:ind w:left="1620" w:hanging="900"/>
        <w:rPr>
          <w:rFonts w:ascii="Arial" w:hAnsi="Arial" w:cs="Arial"/>
          <w:sz w:val="20"/>
        </w:rPr>
      </w:pPr>
      <w:r>
        <w:rPr>
          <w:rFonts w:ascii="Arial" w:hAnsi="Arial" w:cs="Arial"/>
          <w:sz w:val="20"/>
        </w:rPr>
        <w:t>IM1 PFS Interface</w:t>
      </w:r>
    </w:p>
    <w:p w14:paraId="6ED6D2BB" w14:textId="77777777" w:rsidR="00B06F19" w:rsidRDefault="009A2766">
      <w:pPr>
        <w:pStyle w:val="ScheduleL2"/>
        <w:ind w:left="709" w:hanging="709"/>
        <w:rPr>
          <w:rFonts w:ascii="Arial" w:hAnsi="Arial" w:cs="Arial"/>
          <w:sz w:val="20"/>
        </w:rPr>
      </w:pPr>
      <w:r>
        <w:rPr>
          <w:rFonts w:ascii="Arial" w:hAnsi="Arial" w:cs="Arial"/>
          <w:sz w:val="20"/>
        </w:rPr>
        <w:t>It describes the reasonable expectations of the Provider Supplier in respec</w:t>
      </w:r>
      <w:r>
        <w:rPr>
          <w:rFonts w:ascii="Arial" w:hAnsi="Arial" w:cs="Arial"/>
          <w:sz w:val="20"/>
        </w:rPr>
        <w:t>t of the implementation, behaviour and request load associated with a Consumer Supplier connection.</w:t>
      </w:r>
    </w:p>
    <w:p w14:paraId="425F3756" w14:textId="77777777" w:rsidR="00B06F19" w:rsidRDefault="009A2766">
      <w:pPr>
        <w:pStyle w:val="ScheduleL2"/>
        <w:ind w:left="709" w:hanging="709"/>
        <w:rPr>
          <w:rFonts w:ascii="Arial" w:hAnsi="Arial" w:cs="Arial"/>
          <w:sz w:val="20"/>
        </w:rPr>
      </w:pPr>
      <w:r>
        <w:rPr>
          <w:rFonts w:ascii="Arial" w:hAnsi="Arial" w:cs="Arial"/>
          <w:sz w:val="20"/>
        </w:rPr>
        <w:t xml:space="preserve">The purpose of this Fair Usage Policy is to protect the experience of: </w:t>
      </w:r>
    </w:p>
    <w:p w14:paraId="59DAAB31" w14:textId="77777777" w:rsidR="00B06F19" w:rsidRDefault="009A2766">
      <w:pPr>
        <w:pStyle w:val="ScheduleL3"/>
        <w:ind w:left="1620" w:hanging="900"/>
        <w:rPr>
          <w:rFonts w:ascii="Arial" w:hAnsi="Arial" w:cs="Arial"/>
          <w:sz w:val="20"/>
        </w:rPr>
      </w:pPr>
      <w:r>
        <w:rPr>
          <w:rFonts w:ascii="Arial" w:hAnsi="Arial" w:cs="Arial"/>
          <w:sz w:val="20"/>
        </w:rPr>
        <w:t>the clinical and business application users of the Provider Supplier Catalogue Solut</w:t>
      </w:r>
      <w:r>
        <w:rPr>
          <w:rFonts w:ascii="Arial" w:hAnsi="Arial" w:cs="Arial"/>
          <w:sz w:val="20"/>
        </w:rPr>
        <w:t xml:space="preserve">ion; and </w:t>
      </w:r>
    </w:p>
    <w:p w14:paraId="34E6658C" w14:textId="77777777" w:rsidR="00B06F19" w:rsidRDefault="009A2766">
      <w:pPr>
        <w:pStyle w:val="ScheduleL3"/>
        <w:ind w:left="1620" w:hanging="900"/>
        <w:rPr>
          <w:rFonts w:ascii="Arial" w:hAnsi="Arial" w:cs="Arial"/>
          <w:sz w:val="20"/>
        </w:rPr>
      </w:pPr>
      <w:r>
        <w:rPr>
          <w:rFonts w:ascii="Arial" w:hAnsi="Arial" w:cs="Arial"/>
          <w:sz w:val="20"/>
        </w:rPr>
        <w:t xml:space="preserve">other Consumer Suppliers connected to an Interface. </w:t>
      </w:r>
    </w:p>
    <w:p w14:paraId="05D2712C" w14:textId="77777777" w:rsidR="00B06F19" w:rsidRDefault="009A2766">
      <w:pPr>
        <w:pStyle w:val="ScheduleL2"/>
        <w:numPr>
          <w:ilvl w:val="0"/>
          <w:numId w:val="0"/>
        </w:numPr>
        <w:ind w:left="709"/>
        <w:rPr>
          <w:rFonts w:ascii="Arial" w:hAnsi="Arial" w:cs="Arial"/>
          <w:sz w:val="20"/>
        </w:rPr>
      </w:pPr>
      <w:r>
        <w:rPr>
          <w:rFonts w:ascii="Arial" w:hAnsi="Arial" w:cs="Arial"/>
          <w:sz w:val="20"/>
        </w:rPr>
        <w:t>from service deterioration as a result of incorrectly implemented Interfaces or Interfaces exhibiting problematic call volume or behaviour.</w:t>
      </w:r>
    </w:p>
    <w:p w14:paraId="754C5922" w14:textId="77777777" w:rsidR="00B06F19" w:rsidRDefault="009A2766">
      <w:pPr>
        <w:rPr>
          <w:rFonts w:ascii="Arial" w:eastAsia="STZhongsong" w:hAnsi="Arial" w:cs="Arial"/>
          <w:b/>
          <w:sz w:val="20"/>
          <w:szCs w:val="20"/>
          <w:lang w:eastAsia="zh-CN"/>
        </w:rPr>
      </w:pPr>
      <w:r>
        <w:rPr>
          <w:rFonts w:ascii="Arial" w:hAnsi="Arial" w:cs="Arial"/>
          <w:b/>
          <w:sz w:val="20"/>
        </w:rPr>
        <w:br w:type="page"/>
      </w:r>
    </w:p>
    <w:p w14:paraId="0D045761" w14:textId="77777777" w:rsidR="00B06F19" w:rsidRDefault="009A2766">
      <w:pPr>
        <w:pStyle w:val="SchHead"/>
        <w:rPr>
          <w:sz w:val="20"/>
          <w:szCs w:val="20"/>
        </w:rPr>
      </w:pPr>
      <w:r>
        <w:rPr>
          <w:sz w:val="20"/>
          <w:szCs w:val="20"/>
        </w:rPr>
        <w:lastRenderedPageBreak/>
        <w:t>template for pre go live statement</w:t>
      </w:r>
    </w:p>
    <w:p w14:paraId="7A98D89C" w14:textId="77777777" w:rsidR="00B06F19" w:rsidRDefault="009A2766">
      <w:pPr>
        <w:pStyle w:val="ScheduleL1"/>
        <w:numPr>
          <w:ilvl w:val="0"/>
          <w:numId w:val="0"/>
        </w:numPr>
        <w:tabs>
          <w:tab w:val="left" w:pos="1643"/>
        </w:tabs>
        <w:ind w:left="720"/>
        <w:rPr>
          <w:rFonts w:ascii="Arial" w:hAnsi="Arial" w:cs="Arial"/>
          <w:b/>
          <w:sz w:val="20"/>
        </w:rPr>
      </w:pPr>
      <w:r>
        <w:rPr>
          <w:rFonts w:ascii="Arial" w:hAnsi="Arial" w:cs="Arial"/>
          <w:b/>
          <w:sz w:val="20"/>
        </w:rPr>
        <w:t>Parties</w:t>
      </w:r>
    </w:p>
    <w:p w14:paraId="54BAD799" w14:textId="77777777" w:rsidR="00B06F19" w:rsidRDefault="009A2766">
      <w:pPr>
        <w:pStyle w:val="ScheduleL1"/>
        <w:numPr>
          <w:ilvl w:val="0"/>
          <w:numId w:val="0"/>
        </w:numPr>
        <w:tabs>
          <w:tab w:val="left" w:pos="1643"/>
        </w:tabs>
        <w:ind w:left="720"/>
        <w:rPr>
          <w:rFonts w:ascii="Arial" w:hAnsi="Arial" w:cs="Arial"/>
          <w:b/>
          <w:sz w:val="20"/>
        </w:rPr>
      </w:pPr>
      <w:r>
        <w:rPr>
          <w:rFonts w:ascii="Arial" w:hAnsi="Arial" w:cs="Arial"/>
          <w:b/>
          <w:sz w:val="20"/>
        </w:rPr>
        <w:t xml:space="preserve">1  </w:t>
      </w:r>
      <w:r>
        <w:rPr>
          <w:rFonts w:ascii="Arial" w:hAnsi="Arial" w:cs="Arial"/>
          <w:b/>
          <w:sz w:val="20"/>
        </w:rPr>
        <w:t>Provider Supplier :</w:t>
      </w:r>
    </w:p>
    <w:p w14:paraId="1EEDFD66" w14:textId="77777777" w:rsidR="00B06F19" w:rsidRDefault="009A2766">
      <w:pPr>
        <w:pStyle w:val="ScheduleL1"/>
        <w:numPr>
          <w:ilvl w:val="0"/>
          <w:numId w:val="0"/>
        </w:numPr>
        <w:tabs>
          <w:tab w:val="left" w:pos="1643"/>
        </w:tabs>
        <w:ind w:left="720"/>
        <w:rPr>
          <w:rFonts w:ascii="Arial" w:hAnsi="Arial" w:cs="Arial"/>
          <w:b/>
          <w:sz w:val="20"/>
        </w:rPr>
      </w:pPr>
      <w:r>
        <w:rPr>
          <w:rFonts w:ascii="Arial" w:hAnsi="Arial" w:cs="Arial"/>
          <w:b/>
          <w:sz w:val="20"/>
        </w:rPr>
        <w:t xml:space="preserve">2  Consumer Supplier : </w:t>
      </w:r>
    </w:p>
    <w:p w14:paraId="2B1EEC5A" w14:textId="77777777" w:rsidR="00B06F19" w:rsidRDefault="00B06F19">
      <w:pPr>
        <w:pStyle w:val="ScheduleL1"/>
        <w:numPr>
          <w:ilvl w:val="0"/>
          <w:numId w:val="0"/>
        </w:numPr>
        <w:tabs>
          <w:tab w:val="left" w:pos="1643"/>
        </w:tabs>
        <w:ind w:left="720"/>
        <w:rPr>
          <w:rFonts w:ascii="Arial" w:hAnsi="Arial" w:cs="Arial"/>
          <w:b/>
          <w:sz w:val="20"/>
        </w:rPr>
      </w:pPr>
    </w:p>
    <w:p w14:paraId="5C5DF84F" w14:textId="77777777" w:rsidR="00B06F19" w:rsidRDefault="009A2766">
      <w:pPr>
        <w:pStyle w:val="ScheduleL1"/>
        <w:numPr>
          <w:ilvl w:val="0"/>
          <w:numId w:val="0"/>
        </w:numPr>
        <w:tabs>
          <w:tab w:val="left" w:pos="1643"/>
        </w:tabs>
        <w:ind w:left="720"/>
        <w:rPr>
          <w:rFonts w:ascii="Arial" w:hAnsi="Arial" w:cs="Arial"/>
          <w:b/>
          <w:sz w:val="20"/>
        </w:rPr>
      </w:pPr>
      <w:r>
        <w:rPr>
          <w:rFonts w:ascii="Arial" w:hAnsi="Arial" w:cs="Arial"/>
          <w:b/>
          <w:sz w:val="20"/>
        </w:rPr>
        <w:t xml:space="preserve">Date of Model Interface Licence ("Agreement"):  </w:t>
      </w:r>
    </w:p>
    <w:p w14:paraId="1C0BD0B5" w14:textId="77777777" w:rsidR="00B06F19" w:rsidRDefault="00B06F19">
      <w:pPr>
        <w:pStyle w:val="ScheduleL1"/>
        <w:numPr>
          <w:ilvl w:val="0"/>
          <w:numId w:val="0"/>
        </w:numPr>
        <w:tabs>
          <w:tab w:val="left" w:pos="1643"/>
        </w:tabs>
        <w:ind w:left="720"/>
        <w:rPr>
          <w:rFonts w:ascii="Arial" w:hAnsi="Arial" w:cs="Arial"/>
          <w:b/>
          <w:sz w:val="20"/>
        </w:rPr>
      </w:pPr>
    </w:p>
    <w:p w14:paraId="0C5279B6" w14:textId="77777777" w:rsidR="00B06F19" w:rsidRDefault="009A2766">
      <w:pPr>
        <w:pStyle w:val="ScheduleL1"/>
        <w:numPr>
          <w:ilvl w:val="0"/>
          <w:numId w:val="0"/>
        </w:numPr>
        <w:tabs>
          <w:tab w:val="left" w:pos="1643"/>
        </w:tabs>
        <w:ind w:left="720"/>
        <w:rPr>
          <w:rFonts w:ascii="Arial" w:hAnsi="Arial" w:cs="Arial"/>
          <w:b/>
          <w:sz w:val="20"/>
        </w:rPr>
      </w:pPr>
      <w:r>
        <w:rPr>
          <w:rFonts w:ascii="Arial" w:hAnsi="Arial" w:cs="Arial"/>
          <w:b/>
          <w:sz w:val="20"/>
        </w:rPr>
        <w:t>Connection Go Live Date:</w:t>
      </w:r>
    </w:p>
    <w:p w14:paraId="5313F94F" w14:textId="77777777" w:rsidR="00B06F19" w:rsidRDefault="00B06F19">
      <w:pPr>
        <w:pStyle w:val="ScheduleL1"/>
        <w:numPr>
          <w:ilvl w:val="0"/>
          <w:numId w:val="0"/>
        </w:numPr>
        <w:tabs>
          <w:tab w:val="left" w:pos="1643"/>
        </w:tabs>
        <w:ind w:left="720"/>
        <w:rPr>
          <w:rFonts w:ascii="Arial" w:hAnsi="Arial" w:cs="Arial"/>
          <w:sz w:val="20"/>
        </w:rPr>
      </w:pPr>
    </w:p>
    <w:p w14:paraId="40501C66" w14:textId="77777777" w:rsidR="00B06F19" w:rsidRDefault="009A2766">
      <w:pPr>
        <w:pStyle w:val="ScheduleL1"/>
        <w:numPr>
          <w:ilvl w:val="0"/>
          <w:numId w:val="0"/>
        </w:numPr>
        <w:tabs>
          <w:tab w:val="left" w:pos="1643"/>
        </w:tabs>
        <w:ind w:left="720"/>
        <w:rPr>
          <w:rFonts w:ascii="Arial" w:hAnsi="Arial" w:cs="Arial"/>
          <w:sz w:val="20"/>
        </w:rPr>
      </w:pPr>
      <w:r>
        <w:rPr>
          <w:rFonts w:ascii="Arial" w:hAnsi="Arial" w:cs="Arial"/>
          <w:b/>
          <w:sz w:val="20"/>
        </w:rPr>
        <w:t>Agreement to be identified as follows with effect from the Connection Go Live Date</w:t>
      </w:r>
      <w:r>
        <w:rPr>
          <w:rFonts w:ascii="Arial" w:hAnsi="Arial" w:cs="Arial"/>
          <w:sz w:val="20"/>
        </w:rPr>
        <w:t>: [Interface Name] Interface Licence [Consumer Suppli</w:t>
      </w:r>
      <w:r>
        <w:rPr>
          <w:rFonts w:ascii="Arial" w:hAnsi="Arial" w:cs="Arial"/>
          <w:sz w:val="20"/>
        </w:rPr>
        <w:t>er Name].</w:t>
      </w:r>
    </w:p>
    <w:p w14:paraId="5C5E4095" w14:textId="77777777" w:rsidR="00B06F19" w:rsidRDefault="00B06F19">
      <w:pPr>
        <w:pStyle w:val="ScheduleL1"/>
        <w:numPr>
          <w:ilvl w:val="0"/>
          <w:numId w:val="0"/>
        </w:numPr>
        <w:tabs>
          <w:tab w:val="left" w:pos="1643"/>
        </w:tabs>
        <w:ind w:left="720"/>
        <w:rPr>
          <w:rFonts w:ascii="Arial" w:hAnsi="Arial" w:cs="Arial"/>
          <w:sz w:val="20"/>
        </w:rPr>
      </w:pPr>
    </w:p>
    <w:p w14:paraId="26E07191" w14:textId="77777777" w:rsidR="00B06F19" w:rsidRDefault="009A2766">
      <w:pPr>
        <w:pStyle w:val="ScheduleL1"/>
        <w:numPr>
          <w:ilvl w:val="0"/>
          <w:numId w:val="0"/>
        </w:numPr>
        <w:tabs>
          <w:tab w:val="left" w:pos="1643"/>
        </w:tabs>
        <w:ind w:left="720"/>
        <w:rPr>
          <w:rFonts w:ascii="Arial" w:hAnsi="Arial" w:cs="Arial"/>
          <w:b/>
          <w:sz w:val="20"/>
        </w:rPr>
      </w:pPr>
      <w:r>
        <w:rPr>
          <w:rFonts w:ascii="Arial" w:hAnsi="Arial" w:cs="Arial"/>
          <w:b/>
          <w:sz w:val="20"/>
        </w:rPr>
        <w:t>Confirmation</w:t>
      </w:r>
    </w:p>
    <w:p w14:paraId="0B718E90" w14:textId="77777777" w:rsidR="00B06F19" w:rsidRDefault="009A2766">
      <w:pPr>
        <w:pStyle w:val="ScheduleL1"/>
        <w:numPr>
          <w:ilvl w:val="0"/>
          <w:numId w:val="0"/>
        </w:numPr>
        <w:tabs>
          <w:tab w:val="left" w:pos="1643"/>
        </w:tabs>
        <w:ind w:left="720"/>
        <w:rPr>
          <w:rFonts w:ascii="Arial" w:hAnsi="Arial" w:cs="Arial"/>
          <w:sz w:val="20"/>
        </w:rPr>
      </w:pPr>
      <w:r>
        <w:rPr>
          <w:rFonts w:ascii="Arial" w:hAnsi="Arial" w:cs="Arial"/>
          <w:sz w:val="20"/>
        </w:rPr>
        <w:t>The parties confirm that:</w:t>
      </w:r>
    </w:p>
    <w:p w14:paraId="1E76D759" w14:textId="77777777" w:rsidR="00B06F19" w:rsidRDefault="009A2766">
      <w:pPr>
        <w:pStyle w:val="ScheduleL1"/>
        <w:numPr>
          <w:ilvl w:val="0"/>
          <w:numId w:val="0"/>
        </w:numPr>
        <w:tabs>
          <w:tab w:val="left" w:pos="1643"/>
        </w:tabs>
        <w:ind w:left="720"/>
        <w:rPr>
          <w:rFonts w:ascii="Arial" w:hAnsi="Arial" w:cs="Arial"/>
          <w:sz w:val="20"/>
        </w:rPr>
      </w:pPr>
      <w:r>
        <w:rPr>
          <w:rFonts w:ascii="Arial" w:hAnsi="Arial" w:cs="Arial"/>
          <w:sz w:val="20"/>
        </w:rPr>
        <w:t>a)</w:t>
      </w:r>
      <w:r>
        <w:rPr>
          <w:rFonts w:ascii="Arial" w:hAnsi="Arial" w:cs="Arial"/>
          <w:sz w:val="20"/>
        </w:rPr>
        <w:tab/>
        <w:t xml:space="preserve">the SCAL has been completed and agreed and the version appended to this statement shall be incorporated as a revised Schedule 3 to the Agreement; </w:t>
      </w:r>
    </w:p>
    <w:p w14:paraId="50302B2D" w14:textId="77777777" w:rsidR="00B06F19" w:rsidRDefault="009A2766">
      <w:pPr>
        <w:pStyle w:val="ScheduleL1"/>
        <w:numPr>
          <w:ilvl w:val="0"/>
          <w:numId w:val="0"/>
        </w:numPr>
        <w:tabs>
          <w:tab w:val="left" w:pos="1643"/>
        </w:tabs>
        <w:ind w:left="720"/>
        <w:rPr>
          <w:rFonts w:ascii="Arial" w:hAnsi="Arial" w:cs="Arial"/>
          <w:sz w:val="20"/>
        </w:rPr>
      </w:pPr>
      <w:r>
        <w:rPr>
          <w:rFonts w:ascii="Arial" w:hAnsi="Arial" w:cs="Arial"/>
          <w:sz w:val="20"/>
        </w:rPr>
        <w:t>b)</w:t>
      </w:r>
      <w:r>
        <w:rPr>
          <w:rFonts w:ascii="Arial" w:hAnsi="Arial" w:cs="Arial"/>
          <w:sz w:val="20"/>
        </w:rPr>
        <w:tab/>
        <w:t>an updated version of Schedule 2 (Interface Services)</w:t>
      </w:r>
      <w:r>
        <w:rPr>
          <w:rFonts w:ascii="Arial" w:hAnsi="Arial" w:cs="Arial"/>
          <w:sz w:val="20"/>
        </w:rPr>
        <w:t xml:space="preserve"> has been completed and agreed and the version appended to this statement shall supersede the previous version included in the Agreement;</w:t>
      </w:r>
    </w:p>
    <w:p w14:paraId="62F53FE0" w14:textId="77777777" w:rsidR="00B06F19" w:rsidRDefault="009A2766">
      <w:pPr>
        <w:pStyle w:val="ScheduleL1"/>
        <w:numPr>
          <w:ilvl w:val="0"/>
          <w:numId w:val="0"/>
        </w:numPr>
        <w:tabs>
          <w:tab w:val="left" w:pos="1643"/>
        </w:tabs>
        <w:ind w:left="720"/>
        <w:rPr>
          <w:rFonts w:ascii="Arial" w:hAnsi="Arial" w:cs="Arial"/>
          <w:sz w:val="20"/>
        </w:rPr>
      </w:pPr>
      <w:r>
        <w:rPr>
          <w:rFonts w:ascii="Arial" w:hAnsi="Arial" w:cs="Arial"/>
          <w:sz w:val="20"/>
        </w:rPr>
        <w:t xml:space="preserve">[c) </w:t>
      </w:r>
      <w:r>
        <w:rPr>
          <w:rFonts w:ascii="Arial" w:hAnsi="Arial" w:cs="Arial"/>
          <w:sz w:val="20"/>
        </w:rPr>
        <w:tab/>
        <w:t>they have agreed bespoke charging arrangements which are reflected in the charges table appended to this statemen</w:t>
      </w:r>
      <w:r>
        <w:rPr>
          <w:rFonts w:ascii="Arial" w:hAnsi="Arial" w:cs="Arial"/>
          <w:sz w:val="20"/>
        </w:rPr>
        <w:t xml:space="preserve">t and which shall be incorporated as a revised Schedule 4 to the Agreement;]   </w:t>
      </w:r>
    </w:p>
    <w:p w14:paraId="75A06F1B" w14:textId="77777777" w:rsidR="00B06F19" w:rsidRDefault="00B06F19">
      <w:pPr>
        <w:pStyle w:val="MarginText"/>
        <w:spacing w:after="0"/>
        <w:rPr>
          <w:rFonts w:ascii="Arial" w:hAnsi="Arial" w:cs="Arial"/>
          <w:sz w:val="16"/>
          <w:szCs w:val="16"/>
        </w:rPr>
      </w:pPr>
    </w:p>
    <w:sectPr w:rsidR="00B06F19">
      <w:headerReference w:type="even" r:id="rId12"/>
      <w:headerReference w:type="default" r:id="rId13"/>
      <w:footerReference w:type="even"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CE0E" w14:textId="77777777" w:rsidR="00B06F19" w:rsidRDefault="009A2766">
      <w:r>
        <w:separator/>
      </w:r>
    </w:p>
  </w:endnote>
  <w:endnote w:type="continuationSeparator" w:id="0">
    <w:p w14:paraId="63071CCE" w14:textId="77777777" w:rsidR="00B06F19" w:rsidRDefault="009A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2A4E" w14:textId="77777777" w:rsidR="00B06F19" w:rsidRDefault="009A2766">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13</w:t>
    </w:r>
    <w:r>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0B5" w14:textId="77777777" w:rsidR="00B06F19" w:rsidRDefault="009A2766">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21</w:t>
    </w:r>
    <w:r>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0F7" w14:textId="77777777" w:rsidR="00B06F19" w:rsidRDefault="00B06F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9146" w14:textId="77777777" w:rsidR="00B06F19" w:rsidRDefault="00B0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4CE1" w14:textId="77777777" w:rsidR="00B06F19" w:rsidRDefault="009A2766">
      <w:r>
        <w:separator/>
      </w:r>
    </w:p>
  </w:footnote>
  <w:footnote w:type="continuationSeparator" w:id="0">
    <w:p w14:paraId="129F2390" w14:textId="77777777" w:rsidR="00B06F19" w:rsidRDefault="009A2766">
      <w:r>
        <w:continuationSeparator/>
      </w:r>
    </w:p>
  </w:footnote>
  <w:footnote w:id="1">
    <w:p w14:paraId="6E70ACE4" w14:textId="77777777" w:rsidR="00B06F19" w:rsidRDefault="009A2766">
      <w:pPr>
        <w:pStyle w:val="FootnoteText"/>
        <w:rPr>
          <w:rFonts w:ascii="Arial" w:hAnsi="Arial" w:cs="Arial"/>
        </w:rPr>
      </w:pPr>
      <w:r>
        <w:rPr>
          <w:rStyle w:val="FootnoteReference"/>
          <w:rFonts w:ascii="Arial" w:hAnsi="Arial" w:cs="Arial"/>
        </w:rPr>
        <w:footnoteRef/>
      </w:r>
      <w:r>
        <w:rPr>
          <w:rFonts w:ascii="Arial" w:hAnsi="Arial" w:cs="Arial"/>
        </w:rPr>
        <w:t xml:space="preserve"> The Department for Health and Social Care, NHS England and NHS Digital have developed a simple tiered-model to frame the development of Commercial standards for IT contracting across the NHS – the “NHS IT Contracting Model”. The Commercial and Behavioural</w:t>
      </w:r>
      <w:r>
        <w:rPr>
          <w:rFonts w:ascii="Arial" w:hAnsi="Arial" w:cs="Arial"/>
        </w:rPr>
        <w:t xml:space="preserve"> Principles are the first step in developing these Commercial standards. </w:t>
      </w:r>
    </w:p>
    <w:p w14:paraId="73A59CB0" w14:textId="77777777" w:rsidR="00B06F19" w:rsidRDefault="00B06F19">
      <w:pPr>
        <w:pStyle w:val="FootnoteText"/>
        <w:rPr>
          <w:rFonts w:ascii="Arial" w:hAnsi="Arial" w:cs="Arial"/>
        </w:rPr>
      </w:pPr>
    </w:p>
    <w:p w14:paraId="33790180" w14:textId="77777777" w:rsidR="00B06F19" w:rsidRDefault="009A2766">
      <w:pPr>
        <w:pStyle w:val="FootnoteText"/>
        <w:rPr>
          <w:rFonts w:ascii="Arial" w:hAnsi="Arial" w:cs="Arial"/>
        </w:rPr>
      </w:pPr>
      <w:r>
        <w:rPr>
          <w:rFonts w:ascii="Arial" w:hAnsi="Arial" w:cs="Arial"/>
        </w:rPr>
        <w:t>See: https://digital.nhs.uk/about-nhs-digital/our-work/nhs-digital-data-and-technology-standards/framework/beta---commercial-and-behavioural-principles</w:t>
      </w:r>
    </w:p>
  </w:footnote>
  <w:footnote w:id="2">
    <w:p w14:paraId="443B6530" w14:textId="77777777" w:rsidR="00B06F19" w:rsidRDefault="009A2766">
      <w:pPr>
        <w:pStyle w:val="FootnoteText"/>
      </w:pPr>
      <w:r>
        <w:rPr>
          <w:rStyle w:val="FootnoteReference"/>
        </w:rPr>
        <w:footnoteRef/>
      </w:r>
      <w:r>
        <w:t xml:space="preserve"> A material alteration, enha</w:t>
      </w:r>
      <w:r>
        <w:t xml:space="preserve">ncement or representation; examples for illustrative purposes include clinical risk calculators, data cleansing or staging, BI or visualisation services. </w:t>
      </w:r>
    </w:p>
  </w:footnote>
  <w:footnote w:id="3">
    <w:p w14:paraId="35A5CC89" w14:textId="77777777" w:rsidR="00B06F19" w:rsidRDefault="009A2766">
      <w:pPr>
        <w:pStyle w:val="FootnoteText"/>
      </w:pPr>
      <w:r>
        <w:rPr>
          <w:rStyle w:val="FootnoteReference"/>
        </w:rPr>
        <w:footnoteRef/>
      </w:r>
      <w:r>
        <w:t xml:space="preserve"> Reasonable service charges are assessed for the purposes of this Standard, as either i) service cha</w:t>
      </w:r>
      <w:r>
        <w:t>rges offered in accordance with the benchmarks, or ii) service charges where clearly evidenced as cost plus reasonable profit (value based pricing is strictly prohibited).</w:t>
      </w:r>
    </w:p>
  </w:footnote>
  <w:footnote w:id="4">
    <w:p w14:paraId="34A48567" w14:textId="77777777" w:rsidR="00B06F19" w:rsidRDefault="009A2766">
      <w:pPr>
        <w:pStyle w:val="FootnoteText"/>
        <w:rPr>
          <w:rFonts w:ascii="Arial" w:hAnsi="Arial" w:cs="Arial"/>
        </w:rPr>
      </w:pPr>
      <w:r>
        <w:rPr>
          <w:rStyle w:val="FootnoteReference"/>
          <w:rFonts w:ascii="Arial" w:hAnsi="Arial" w:cs="Arial"/>
        </w:rPr>
        <w:footnoteRef/>
      </w:r>
      <w:r>
        <w:rPr>
          <w:rFonts w:ascii="Arial" w:hAnsi="Arial" w:cs="Arial"/>
        </w:rPr>
        <w:t xml:space="preserve"> Externally exposed interfaces shall for the purposes of this standard be defined a</w:t>
      </w:r>
      <w:r>
        <w:rPr>
          <w:rFonts w:ascii="Arial" w:hAnsi="Arial" w:cs="Arial"/>
        </w:rPr>
        <w:t>s the following, in accordance with the NHS England Open API Policy:</w:t>
      </w:r>
    </w:p>
    <w:p w14:paraId="269E8DE5" w14:textId="77777777" w:rsidR="00B06F19" w:rsidRDefault="00B06F19">
      <w:pPr>
        <w:pStyle w:val="FootnoteText"/>
        <w:rPr>
          <w:rFonts w:ascii="Arial" w:hAnsi="Arial" w:cs="Arial"/>
        </w:rPr>
      </w:pPr>
    </w:p>
    <w:p w14:paraId="2BB65CFD" w14:textId="77777777" w:rsidR="00B06F19" w:rsidRDefault="009A2766">
      <w:pPr>
        <w:pStyle w:val="FootnoteText"/>
        <w:rPr>
          <w:rFonts w:ascii="Arial" w:hAnsi="Arial" w:cs="Arial"/>
        </w:rPr>
      </w:pPr>
      <w:r>
        <w:rPr>
          <w:rFonts w:ascii="Arial" w:hAnsi="Arial" w:cs="Arial"/>
        </w:rPr>
        <w:t>“Open APIs are those APIs that have been exposed to enable other systems to interact with that system, and those APIs have been sufficiently documented that the available functionality i</w:t>
      </w:r>
      <w:r>
        <w:rPr>
          <w:rFonts w:ascii="Arial" w:hAnsi="Arial" w:cs="Arial"/>
        </w:rPr>
        <w:t xml:space="preserve">s discoverable, fit for purpose and re-usable.” </w:t>
      </w:r>
    </w:p>
    <w:p w14:paraId="0E1A24BD" w14:textId="77777777" w:rsidR="00B06F19" w:rsidRDefault="00B06F19">
      <w:pPr>
        <w:pStyle w:val="FootnoteText"/>
        <w:rPr>
          <w:rFonts w:ascii="Arial" w:hAnsi="Arial" w:cs="Arial"/>
        </w:rPr>
      </w:pPr>
    </w:p>
    <w:p w14:paraId="1C001D6F" w14:textId="77777777" w:rsidR="00B06F19" w:rsidRDefault="009A2766">
      <w:pPr>
        <w:pStyle w:val="FootnoteText"/>
        <w:rPr>
          <w:rFonts w:ascii="Arial" w:hAnsi="Arial" w:cs="Arial"/>
        </w:rPr>
      </w:pPr>
      <w:r>
        <w:rPr>
          <w:rFonts w:ascii="Arial" w:hAnsi="Arial" w:cs="Arial"/>
        </w:rPr>
        <w:t xml:space="preserve">For the avoidance of doubt, this provision excludes those interfaces which a Supplier reasonably considers to be deprecated or moving end of life.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DF4E" w14:textId="77777777" w:rsidR="00B06F19" w:rsidRDefault="009A2766">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42829E69" w14:textId="77777777" w:rsidR="00B06F19" w:rsidRDefault="009A2766">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Digital Care Services - Catalogue Agreement</w:t>
    </w:r>
  </w:p>
  <w:p w14:paraId="2803EB47" w14:textId="77777777" w:rsidR="00B06F19" w:rsidRDefault="009A2766">
    <w:pPr>
      <w:tabs>
        <w:tab w:val="center" w:pos="4153"/>
        <w:tab w:val="right" w:pos="8306"/>
      </w:tabs>
      <w:autoSpaceDN w:val="0"/>
      <w:spacing w:after="240"/>
      <w:jc w:val="center"/>
    </w:pPr>
    <w:r>
      <w:rPr>
        <w:rFonts w:ascii="Arial" w:eastAsia="Trebuchet MS" w:hAnsi="Arial" w:cs="Arial"/>
        <w:sz w:val="20"/>
      </w:rPr>
      <w:t xml:space="preserve">Commercial Standard and Model Interface Licence </w:t>
    </w:r>
  </w:p>
  <w:p w14:paraId="3965C10F" w14:textId="77777777" w:rsidR="00B06F19" w:rsidRDefault="00B0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052B" w14:textId="77777777" w:rsidR="00B06F19" w:rsidRDefault="009A2766">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53CC0169" w14:textId="77777777" w:rsidR="00B06F19" w:rsidRDefault="009A2766">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Digital Care Services - Catalogue Agreement</w:t>
    </w:r>
  </w:p>
  <w:p w14:paraId="545EFB3A" w14:textId="77777777" w:rsidR="00B06F19" w:rsidRDefault="009A2766">
    <w:pPr>
      <w:tabs>
        <w:tab w:val="center" w:pos="4153"/>
        <w:tab w:val="right" w:pos="8306"/>
      </w:tabs>
      <w:autoSpaceDN w:val="0"/>
      <w:spacing w:after="240"/>
      <w:jc w:val="center"/>
    </w:pPr>
    <w:r>
      <w:rPr>
        <w:rFonts w:ascii="Arial" w:eastAsia="Trebuchet MS" w:hAnsi="Arial" w:cs="Arial"/>
        <w:sz w:val="20"/>
      </w:rPr>
      <w:t xml:space="preserve">Commercial Standard and Model Interface Licence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9D06" w14:textId="77777777" w:rsidR="00B06F19" w:rsidRDefault="00B06F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13D7" w14:textId="77777777" w:rsidR="00B06F19" w:rsidRDefault="009A2766">
    <w:pPr>
      <w:tabs>
        <w:tab w:val="center" w:pos="4153"/>
        <w:tab w:val="right" w:pos="8306"/>
      </w:tabs>
      <w:autoSpaceDN w:val="0"/>
      <w:spacing w:after="240"/>
      <w:jc w:val="center"/>
      <w:rPr>
        <w:rFonts w:ascii="Arial" w:eastAsia="Trebuchet MS" w:hAnsi="Arial" w:cs="Arial"/>
        <w:sz w:val="20"/>
      </w:rPr>
    </w:pPr>
    <w:bookmarkStart w:id="174" w:name="bmLegallyPrivileged"/>
    <w:bookmarkEnd w:id="174"/>
    <w:r>
      <w:rPr>
        <w:rFonts w:ascii="Arial" w:eastAsia="Trebuchet MS" w:hAnsi="Arial" w:cs="Arial"/>
        <w:sz w:val="20"/>
      </w:rPr>
      <w:t>OFFICIAL - SENSITIVE - COMMERCIAL</w:t>
    </w:r>
  </w:p>
  <w:p w14:paraId="2D722DB2" w14:textId="77777777" w:rsidR="00B06F19" w:rsidRDefault="009A2766">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 xml:space="preserve">Commercial Standard </w:t>
    </w:r>
    <w:bookmarkStart w:id="175" w:name="bmStrictlyPrivateLine"/>
    <w:bookmarkEnd w:id="175"/>
    <w:r>
      <w:rPr>
        <w:rFonts w:ascii="Arial" w:eastAsia="Trebuchet MS" w:hAnsi="Arial" w:cs="Arial"/>
        <w:sz w:val="20"/>
      </w:rPr>
      <w:t xml:space="preserve">and Model Interface Licence </w:t>
    </w:r>
  </w:p>
  <w:p w14:paraId="104FD29E" w14:textId="77777777" w:rsidR="00B06F19" w:rsidRDefault="00B06F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FA8B" w14:textId="77777777" w:rsidR="00B06F19" w:rsidRDefault="00B06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AD0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A6FC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80C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5C380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736ECCDC"/>
    <w:lvl w:ilvl="0">
      <w:start w:val="1"/>
      <w:numFmt w:val="decimal"/>
      <w:pStyle w:val="ListNumber"/>
      <w:lvlText w:val="%1."/>
      <w:lvlJc w:val="left"/>
      <w:pPr>
        <w:tabs>
          <w:tab w:val="num" w:pos="360"/>
        </w:tabs>
        <w:ind w:left="360" w:hanging="360"/>
      </w:pPr>
    </w:lvl>
  </w:abstractNum>
  <w:abstractNum w:abstractNumId="5" w15:restartNumberingAfterBreak="0">
    <w:nsid w:val="00781816"/>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AC608D"/>
    <w:multiLevelType w:val="hybridMultilevel"/>
    <w:tmpl w:val="329CD118"/>
    <w:lvl w:ilvl="0" w:tplc="A0DA4E52">
      <w:start w:val="1"/>
      <w:numFmt w:val="lowerLetter"/>
      <w:lvlText w:val="(%1)"/>
      <w:lvlJc w:val="left"/>
      <w:pPr>
        <w:ind w:left="1080" w:hanging="360"/>
      </w:pPr>
      <w:rPr>
        <w:rFonts w:hint="default"/>
      </w:rPr>
    </w:lvl>
    <w:lvl w:ilvl="1" w:tplc="F3EC5588" w:tentative="1">
      <w:start w:val="1"/>
      <w:numFmt w:val="lowerLetter"/>
      <w:lvlText w:val="%2."/>
      <w:lvlJc w:val="left"/>
      <w:pPr>
        <w:ind w:left="1800" w:hanging="360"/>
      </w:pPr>
    </w:lvl>
    <w:lvl w:ilvl="2" w:tplc="C55A9A54" w:tentative="1">
      <w:start w:val="1"/>
      <w:numFmt w:val="lowerRoman"/>
      <w:lvlText w:val="%3."/>
      <w:lvlJc w:val="right"/>
      <w:pPr>
        <w:ind w:left="2520" w:hanging="180"/>
      </w:pPr>
    </w:lvl>
    <w:lvl w:ilvl="3" w:tplc="2088570A" w:tentative="1">
      <w:start w:val="1"/>
      <w:numFmt w:val="decimal"/>
      <w:lvlText w:val="%4."/>
      <w:lvlJc w:val="left"/>
      <w:pPr>
        <w:ind w:left="3240" w:hanging="360"/>
      </w:pPr>
    </w:lvl>
    <w:lvl w:ilvl="4" w:tplc="B0F2C690" w:tentative="1">
      <w:start w:val="1"/>
      <w:numFmt w:val="lowerLetter"/>
      <w:lvlText w:val="%5."/>
      <w:lvlJc w:val="left"/>
      <w:pPr>
        <w:ind w:left="3960" w:hanging="360"/>
      </w:pPr>
    </w:lvl>
    <w:lvl w:ilvl="5" w:tplc="FD58C5B8" w:tentative="1">
      <w:start w:val="1"/>
      <w:numFmt w:val="lowerRoman"/>
      <w:lvlText w:val="%6."/>
      <w:lvlJc w:val="right"/>
      <w:pPr>
        <w:ind w:left="4680" w:hanging="180"/>
      </w:pPr>
    </w:lvl>
    <w:lvl w:ilvl="6" w:tplc="B8D8C5B8" w:tentative="1">
      <w:start w:val="1"/>
      <w:numFmt w:val="decimal"/>
      <w:lvlText w:val="%7."/>
      <w:lvlJc w:val="left"/>
      <w:pPr>
        <w:ind w:left="5400" w:hanging="360"/>
      </w:pPr>
    </w:lvl>
    <w:lvl w:ilvl="7" w:tplc="C8969EE4" w:tentative="1">
      <w:start w:val="1"/>
      <w:numFmt w:val="lowerLetter"/>
      <w:lvlText w:val="%8."/>
      <w:lvlJc w:val="left"/>
      <w:pPr>
        <w:ind w:left="6120" w:hanging="360"/>
      </w:pPr>
    </w:lvl>
    <w:lvl w:ilvl="8" w:tplc="FF5E729C" w:tentative="1">
      <w:start w:val="1"/>
      <w:numFmt w:val="lowerRoman"/>
      <w:lvlText w:val="%9."/>
      <w:lvlJc w:val="right"/>
      <w:pPr>
        <w:ind w:left="6840" w:hanging="180"/>
      </w:pPr>
    </w:lvl>
  </w:abstractNum>
  <w:abstractNum w:abstractNumId="7" w15:restartNumberingAfterBreak="0">
    <w:nsid w:val="046E22F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4D9290A"/>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07D06280"/>
    <w:multiLevelType w:val="multilevel"/>
    <w:tmpl w:val="48126F4A"/>
    <w:lvl w:ilvl="0">
      <w:start w:val="39"/>
      <w:numFmt w:val="decimal"/>
      <w:lvlText w:val="%1."/>
      <w:lvlJc w:val="left"/>
      <w:pPr>
        <w:ind w:left="864" w:hanging="864"/>
      </w:pPr>
      <w:rPr>
        <w:rFonts w:hint="default"/>
      </w:rPr>
    </w:lvl>
    <w:lvl w:ilvl="1">
      <w:start w:val="2"/>
      <w:numFmt w:val="decimal"/>
      <w:lvlText w:val="%1.%2"/>
      <w:lvlJc w:val="left"/>
      <w:pPr>
        <w:ind w:left="1440" w:hanging="576"/>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61E1E"/>
    <w:multiLevelType w:val="hybridMultilevel"/>
    <w:tmpl w:val="329CD118"/>
    <w:lvl w:ilvl="0" w:tplc="97BC8DE6">
      <w:start w:val="1"/>
      <w:numFmt w:val="lowerLetter"/>
      <w:lvlText w:val="(%1)"/>
      <w:lvlJc w:val="left"/>
      <w:pPr>
        <w:ind w:left="1080" w:hanging="360"/>
      </w:pPr>
      <w:rPr>
        <w:rFonts w:hint="default"/>
      </w:rPr>
    </w:lvl>
    <w:lvl w:ilvl="1" w:tplc="1ED43316" w:tentative="1">
      <w:start w:val="1"/>
      <w:numFmt w:val="lowerLetter"/>
      <w:lvlText w:val="%2."/>
      <w:lvlJc w:val="left"/>
      <w:pPr>
        <w:ind w:left="1800" w:hanging="360"/>
      </w:pPr>
    </w:lvl>
    <w:lvl w:ilvl="2" w:tplc="24E858BE" w:tentative="1">
      <w:start w:val="1"/>
      <w:numFmt w:val="lowerRoman"/>
      <w:lvlText w:val="%3."/>
      <w:lvlJc w:val="right"/>
      <w:pPr>
        <w:ind w:left="2520" w:hanging="180"/>
      </w:pPr>
    </w:lvl>
    <w:lvl w:ilvl="3" w:tplc="D8BC41D6" w:tentative="1">
      <w:start w:val="1"/>
      <w:numFmt w:val="decimal"/>
      <w:lvlText w:val="%4."/>
      <w:lvlJc w:val="left"/>
      <w:pPr>
        <w:ind w:left="3240" w:hanging="360"/>
      </w:pPr>
    </w:lvl>
    <w:lvl w:ilvl="4" w:tplc="421A5F62" w:tentative="1">
      <w:start w:val="1"/>
      <w:numFmt w:val="lowerLetter"/>
      <w:lvlText w:val="%5."/>
      <w:lvlJc w:val="left"/>
      <w:pPr>
        <w:ind w:left="3960" w:hanging="360"/>
      </w:pPr>
    </w:lvl>
    <w:lvl w:ilvl="5" w:tplc="C8446B58" w:tentative="1">
      <w:start w:val="1"/>
      <w:numFmt w:val="lowerRoman"/>
      <w:lvlText w:val="%6."/>
      <w:lvlJc w:val="right"/>
      <w:pPr>
        <w:ind w:left="4680" w:hanging="180"/>
      </w:pPr>
    </w:lvl>
    <w:lvl w:ilvl="6" w:tplc="B0F4350C" w:tentative="1">
      <w:start w:val="1"/>
      <w:numFmt w:val="decimal"/>
      <w:lvlText w:val="%7."/>
      <w:lvlJc w:val="left"/>
      <w:pPr>
        <w:ind w:left="5400" w:hanging="360"/>
      </w:pPr>
    </w:lvl>
    <w:lvl w:ilvl="7" w:tplc="69FC7B14" w:tentative="1">
      <w:start w:val="1"/>
      <w:numFmt w:val="lowerLetter"/>
      <w:lvlText w:val="%8."/>
      <w:lvlJc w:val="left"/>
      <w:pPr>
        <w:ind w:left="6120" w:hanging="360"/>
      </w:pPr>
    </w:lvl>
    <w:lvl w:ilvl="8" w:tplc="4FD279F0" w:tentative="1">
      <w:start w:val="1"/>
      <w:numFmt w:val="lowerRoman"/>
      <w:lvlText w:val="%9."/>
      <w:lvlJc w:val="right"/>
      <w:pPr>
        <w:ind w:left="6840" w:hanging="180"/>
      </w:pPr>
    </w:lvl>
  </w:abstractNum>
  <w:abstractNum w:abstractNumId="13" w15:restartNumberingAfterBreak="0">
    <w:nsid w:val="17001A14"/>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1AFE2F1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7" w15:restartNumberingAfterBreak="0">
    <w:nsid w:val="2CAA2CF7"/>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EE67B6F"/>
    <w:multiLevelType w:val="multilevel"/>
    <w:tmpl w:val="D99E222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15:restartNumberingAfterBreak="0">
    <w:nsid w:val="32FD57B1"/>
    <w:multiLevelType w:val="hybridMultilevel"/>
    <w:tmpl w:val="2028EFCA"/>
    <w:lvl w:ilvl="0" w:tplc="1A9C143A">
      <w:start w:val="1"/>
      <w:numFmt w:val="decimal"/>
      <w:lvlText w:val="%1."/>
      <w:lvlJc w:val="left"/>
      <w:pPr>
        <w:ind w:left="3600" w:hanging="360"/>
      </w:pPr>
    </w:lvl>
    <w:lvl w:ilvl="1" w:tplc="384C058A">
      <w:start w:val="1"/>
      <w:numFmt w:val="lowerLetter"/>
      <w:lvlText w:val="%2."/>
      <w:lvlJc w:val="left"/>
      <w:pPr>
        <w:ind w:left="4320" w:hanging="360"/>
      </w:pPr>
    </w:lvl>
    <w:lvl w:ilvl="2" w:tplc="D19608EA">
      <w:start w:val="1"/>
      <w:numFmt w:val="lowerRoman"/>
      <w:lvlText w:val="%3."/>
      <w:lvlJc w:val="right"/>
      <w:pPr>
        <w:ind w:left="5040" w:hanging="180"/>
      </w:pPr>
    </w:lvl>
    <w:lvl w:ilvl="3" w:tplc="3D6CE540" w:tentative="1">
      <w:start w:val="1"/>
      <w:numFmt w:val="decimal"/>
      <w:lvlText w:val="%4."/>
      <w:lvlJc w:val="left"/>
      <w:pPr>
        <w:ind w:left="5760" w:hanging="360"/>
      </w:pPr>
    </w:lvl>
    <w:lvl w:ilvl="4" w:tplc="7BB8AF28" w:tentative="1">
      <w:start w:val="1"/>
      <w:numFmt w:val="lowerLetter"/>
      <w:lvlText w:val="%5."/>
      <w:lvlJc w:val="left"/>
      <w:pPr>
        <w:ind w:left="6480" w:hanging="360"/>
      </w:pPr>
    </w:lvl>
    <w:lvl w:ilvl="5" w:tplc="1A0C9324" w:tentative="1">
      <w:start w:val="1"/>
      <w:numFmt w:val="lowerRoman"/>
      <w:lvlText w:val="%6."/>
      <w:lvlJc w:val="right"/>
      <w:pPr>
        <w:ind w:left="7200" w:hanging="180"/>
      </w:pPr>
    </w:lvl>
    <w:lvl w:ilvl="6" w:tplc="63D8ACBA" w:tentative="1">
      <w:start w:val="1"/>
      <w:numFmt w:val="decimal"/>
      <w:lvlText w:val="%7."/>
      <w:lvlJc w:val="left"/>
      <w:pPr>
        <w:ind w:left="7920" w:hanging="360"/>
      </w:pPr>
    </w:lvl>
    <w:lvl w:ilvl="7" w:tplc="D0EA626C" w:tentative="1">
      <w:start w:val="1"/>
      <w:numFmt w:val="lowerLetter"/>
      <w:lvlText w:val="%8."/>
      <w:lvlJc w:val="left"/>
      <w:pPr>
        <w:ind w:left="8640" w:hanging="360"/>
      </w:pPr>
    </w:lvl>
    <w:lvl w:ilvl="8" w:tplc="460EE92E" w:tentative="1">
      <w:start w:val="1"/>
      <w:numFmt w:val="lowerRoman"/>
      <w:lvlText w:val="%9."/>
      <w:lvlJc w:val="right"/>
      <w:pPr>
        <w:ind w:left="9360" w:hanging="180"/>
      </w:pPr>
    </w:lvl>
  </w:abstractNum>
  <w:abstractNum w:abstractNumId="20"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1" w15:restartNumberingAfterBreak="0">
    <w:nsid w:val="415F1015"/>
    <w:multiLevelType w:val="hybridMultilevel"/>
    <w:tmpl w:val="329CD118"/>
    <w:lvl w:ilvl="0" w:tplc="55C8376C">
      <w:start w:val="1"/>
      <w:numFmt w:val="lowerLetter"/>
      <w:lvlText w:val="(%1)"/>
      <w:lvlJc w:val="left"/>
      <w:pPr>
        <w:ind w:left="1080" w:hanging="360"/>
      </w:pPr>
      <w:rPr>
        <w:rFonts w:hint="default"/>
      </w:rPr>
    </w:lvl>
    <w:lvl w:ilvl="1" w:tplc="8AD0B5D6" w:tentative="1">
      <w:start w:val="1"/>
      <w:numFmt w:val="lowerLetter"/>
      <w:lvlText w:val="%2."/>
      <w:lvlJc w:val="left"/>
      <w:pPr>
        <w:ind w:left="1800" w:hanging="360"/>
      </w:pPr>
    </w:lvl>
    <w:lvl w:ilvl="2" w:tplc="688E7EAC" w:tentative="1">
      <w:start w:val="1"/>
      <w:numFmt w:val="lowerRoman"/>
      <w:lvlText w:val="%3."/>
      <w:lvlJc w:val="right"/>
      <w:pPr>
        <w:ind w:left="2520" w:hanging="180"/>
      </w:pPr>
    </w:lvl>
    <w:lvl w:ilvl="3" w:tplc="08924C22" w:tentative="1">
      <w:start w:val="1"/>
      <w:numFmt w:val="decimal"/>
      <w:lvlText w:val="%4."/>
      <w:lvlJc w:val="left"/>
      <w:pPr>
        <w:ind w:left="3240" w:hanging="360"/>
      </w:pPr>
    </w:lvl>
    <w:lvl w:ilvl="4" w:tplc="30A2116A" w:tentative="1">
      <w:start w:val="1"/>
      <w:numFmt w:val="lowerLetter"/>
      <w:lvlText w:val="%5."/>
      <w:lvlJc w:val="left"/>
      <w:pPr>
        <w:ind w:left="3960" w:hanging="360"/>
      </w:pPr>
    </w:lvl>
    <w:lvl w:ilvl="5" w:tplc="66589CD4" w:tentative="1">
      <w:start w:val="1"/>
      <w:numFmt w:val="lowerRoman"/>
      <w:lvlText w:val="%6."/>
      <w:lvlJc w:val="right"/>
      <w:pPr>
        <w:ind w:left="4680" w:hanging="180"/>
      </w:pPr>
    </w:lvl>
    <w:lvl w:ilvl="6" w:tplc="E29C1ACA" w:tentative="1">
      <w:start w:val="1"/>
      <w:numFmt w:val="decimal"/>
      <w:lvlText w:val="%7."/>
      <w:lvlJc w:val="left"/>
      <w:pPr>
        <w:ind w:left="5400" w:hanging="360"/>
      </w:pPr>
    </w:lvl>
    <w:lvl w:ilvl="7" w:tplc="15A81D46" w:tentative="1">
      <w:start w:val="1"/>
      <w:numFmt w:val="lowerLetter"/>
      <w:lvlText w:val="%8."/>
      <w:lvlJc w:val="left"/>
      <w:pPr>
        <w:ind w:left="6120" w:hanging="360"/>
      </w:pPr>
    </w:lvl>
    <w:lvl w:ilvl="8" w:tplc="614E55E4" w:tentative="1">
      <w:start w:val="1"/>
      <w:numFmt w:val="lowerRoman"/>
      <w:lvlText w:val="%9."/>
      <w:lvlJc w:val="right"/>
      <w:pPr>
        <w:ind w:left="6840" w:hanging="180"/>
      </w:pPr>
    </w:lvl>
  </w:abstractNum>
  <w:abstractNum w:abstractNumId="22"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A376A8D"/>
    <w:multiLevelType w:val="multilevel"/>
    <w:tmpl w:val="347CF25E"/>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200365"/>
    <w:multiLevelType w:val="multilevel"/>
    <w:tmpl w:val="A84AAC80"/>
    <w:name w:val="Plato Heading List"/>
    <w:lvl w:ilvl="0">
      <w:start w:val="1"/>
      <w:numFmt w:val="decimal"/>
      <w:pStyle w:val="Heading1"/>
      <w:lvlText w:val="%1."/>
      <w:lvlJc w:val="left"/>
      <w:pPr>
        <w:tabs>
          <w:tab w:val="num" w:pos="862"/>
        </w:tabs>
        <w:ind w:left="862"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b w:val="0"/>
        <w:i w:val="0"/>
        <w:caps w:val="0"/>
        <w:effect w:val="none"/>
      </w:rPr>
    </w:lvl>
    <w:lvl w:ilvl="2">
      <w:start w:val="1"/>
      <w:numFmt w:val="decimal"/>
      <w:pStyle w:val="Heading3"/>
      <w:lvlText w:val="%1.%2.%3"/>
      <w:lvlJc w:val="left"/>
      <w:pPr>
        <w:tabs>
          <w:tab w:val="num" w:pos="1800"/>
        </w:tabs>
        <w:ind w:left="1800" w:hanging="1080"/>
      </w:pPr>
      <w:rPr>
        <w:b w:val="0"/>
        <w:i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4"/>
  </w:num>
  <w:num w:numId="3">
    <w:abstractNumId w:val="16"/>
  </w:num>
  <w:num w:numId="4">
    <w:abstractNumId w:val="18"/>
  </w:num>
  <w:num w:numId="5">
    <w:abstractNumId w:val="8"/>
  </w:num>
  <w:num w:numId="6">
    <w:abstractNumId w:val="23"/>
  </w:num>
  <w:num w:numId="7">
    <w:abstractNumId w:val="20"/>
  </w:num>
  <w:num w:numId="8">
    <w:abstractNumId w:val="15"/>
  </w:num>
  <w:num w:numId="9">
    <w:abstractNumId w:val="4"/>
  </w:num>
  <w:num w:numId="10">
    <w:abstractNumId w:val="3"/>
  </w:num>
  <w:num w:numId="11">
    <w:abstractNumId w:val="2"/>
  </w:num>
  <w:num w:numId="12">
    <w:abstractNumId w:val="1"/>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22"/>
  </w:num>
  <w:num w:numId="19">
    <w:abstractNumId w:val="13"/>
  </w:num>
  <w:num w:numId="20">
    <w:abstractNumId w:val="21"/>
  </w:num>
  <w:num w:numId="21">
    <w:abstractNumId w:val="12"/>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9"/>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 w:numId="34">
    <w:abstractNumId w:val="24"/>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F19"/>
    <w:rsid w:val="009A2766"/>
    <w:rsid w:val="00B06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FDF35"/>
  <w15:docId w15:val="{C35D3EC1-A990-45D1-AB58-E3783BED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Alt+1),1,1st level,2,A MAJOR/BOLD,Attribute Heading 1,H1,Heading 1(Report Only),Level 1,Part,Roman 14 B Heading,Roman 14 B Heading1,Roman 14 B Heading11,Roman 14 B Heading2,Schedheading,Section Heading,h1,h1 chapter heading,new page/chapter,o"/>
    <w:basedOn w:val="HouseStyleBase"/>
    <w:link w:val="Heading1Char"/>
    <w:uiPriority w:val="9"/>
    <w:qFormat/>
    <w:pPr>
      <w:keepNext/>
      <w:numPr>
        <w:numId w:val="2"/>
      </w:numPr>
      <w:tabs>
        <w:tab w:val="clear" w:pos="862"/>
        <w:tab w:val="num" w:pos="720"/>
      </w:tabs>
      <w:ind w:hanging="862"/>
      <w:outlineLvl w:val="0"/>
    </w:pPr>
    <w:rPr>
      <w:rFonts w:ascii="Arial" w:hAnsi="Arial" w:cs="Arial"/>
      <w:b/>
      <w:bCs/>
      <w:caps/>
      <w:sz w:val="20"/>
    </w:rPr>
  </w:style>
  <w:style w:type="paragraph" w:styleId="Heading2">
    <w:name w:val="heading 2"/>
    <w:aliases w:val="1.1,1.Seite,1st level heading,21,2nd level,Chapter,H2,H21,Head 2,Header 2,Heading 2 Hidden,I2,L2,Lev 2,Level 2 Topic Heading,List level 2,List level heading 22,Reset numbering,Section Title,Sub Heading,a,dd heading 2,dh2,h2,h21,l2,level 2 no t"/>
    <w:basedOn w:val="HouseStyleBase"/>
    <w:link w:val="Heading2Char"/>
    <w:uiPriority w:val="9"/>
    <w:qFormat/>
    <w:pPr>
      <w:numPr>
        <w:ilvl w:val="1"/>
        <w:numId w:val="2"/>
      </w:numPr>
      <w:outlineLvl w:val="1"/>
    </w:pPr>
  </w:style>
  <w:style w:type="paragraph" w:styleId="Heading3">
    <w:name w:val="heading 3"/>
    <w:aliases w:val="1.,1.2,3,31,3rd level,Annotationen,CT,H3,Head 3,ITT t3,L3,Lev 3,Level 1 - 1,Level 3 Topic Heading,PA Minor Section,Section,Subhead,TF-Overskrift 3,Titre 3 SQ,h3,h31,h32,h33,l,l3,l3+toc 3,l31,l32,level3,sub-sub,subhead,subhead1,text,titre 1.1.1"/>
    <w:basedOn w:val="HouseStyleBase"/>
    <w:link w:val="Heading3Char"/>
    <w:uiPriority w:val="9"/>
    <w:qFormat/>
    <w:pPr>
      <w:numPr>
        <w:ilvl w:val="2"/>
        <w:numId w:val="2"/>
      </w:numPr>
      <w:outlineLvl w:val="2"/>
    </w:pPr>
  </w:style>
  <w:style w:type="paragraph" w:styleId="Heading4">
    <w:name w:val="heading 4"/>
    <w:aliases w:val="1),1.1.1.1,14,141,1411,142,1421,143,3rd level heading,4,41,411,42,421,43,4th level,H4,H41,ITT t4,Lev 4,Map Title,Map Title1,PA Micro Section,TE Heading 4,a.,a.1,h4,h41,h411,h42,h421,h43,h431,h44,l4,l41,l411,l42,l421,l43,parapoint,parapoint1,¶"/>
    <w:basedOn w:val="HouseStyleBase"/>
    <w:link w:val="Heading4Char"/>
    <w:uiPriority w:val="9"/>
    <w:qFormat/>
    <w:pPr>
      <w:numPr>
        <w:ilvl w:val="3"/>
        <w:numId w:val="2"/>
      </w:numPr>
      <w:tabs>
        <w:tab w:val="clear" w:pos="2880"/>
      </w:tabs>
      <w:outlineLvl w:val="3"/>
    </w:pPr>
    <w:rPr>
      <w:rFonts w:ascii="Arial" w:hAnsi="Arial" w:cs="Arial"/>
      <w:sz w:val="20"/>
    </w:rPr>
  </w:style>
  <w:style w:type="paragraph" w:styleId="Heading5">
    <w:name w:val="heading 5"/>
    <w:aliases w:val="- A,Appendix A to X,B,B1,C,H5,Heading 5   Appendix A to X,Heading 5(unused),Level 3 - (i),Response Type,Response Type1,Response Type2,Response Type3,Response Type4,Response Type5,Response Type6,Response Type7,Subheading,Third Level Heading,h5"/>
    <w:basedOn w:val="HouseStyleBase"/>
    <w:link w:val="Heading5Char"/>
    <w:uiPriority w:val="9"/>
    <w:qFormat/>
    <w:pPr>
      <w:numPr>
        <w:ilvl w:val="4"/>
        <w:numId w:val="2"/>
      </w:numPr>
      <w:tabs>
        <w:tab w:val="clear" w:pos="3600"/>
      </w:tabs>
      <w:ind w:hanging="360"/>
      <w:outlineLvl w:val="4"/>
    </w:pPr>
  </w:style>
  <w:style w:type="paragraph" w:styleId="Heading6">
    <w:name w:val="heading 6"/>
    <w:aliases w:val="5,Appendix,Bullet list,H6,H6 DO NOT USE,H61,H62,Heading 6  Appendix Y &amp; Z,Heading 6(unused),L1 PIP,Legal Level 1.,Lev 6,Lev 61,Lev 62,Lev 63,Numbered - 6,Numbered - 61,Numbered - 62,Numbered - 63,PA Appendix,PR14,Subdash,bullet2,h6,sd,sub-dash"/>
    <w:basedOn w:val="HouseStyleBase"/>
    <w:link w:val="Heading6Char"/>
    <w:uiPriority w:val="9"/>
    <w:qFormat/>
    <w:pPr>
      <w:numPr>
        <w:ilvl w:val="5"/>
        <w:numId w:val="2"/>
      </w:numPr>
      <w:tabs>
        <w:tab w:val="clear" w:pos="4320"/>
      </w:tabs>
      <w:ind w:hanging="180"/>
      <w:outlineLvl w:val="5"/>
    </w:pPr>
  </w:style>
  <w:style w:type="paragraph" w:styleId="Heading7">
    <w:name w:val="heading 7"/>
    <w:aliases w:val="7,Appendix Major,Blank 3,ExhibitTitle,H7DO NOT USE,Heading 7(unused),L2 PIP,L7,Legal Level 1.1.,Lev 7,Lev 71,Lev 72,Lev 73,Numbered - 7,Numbered - 71,Numbered - 72,Numbered - 73,Objective,PA Appendix Major,PR15,T7,h7,letter list,lettered list"/>
    <w:basedOn w:val="HouseStyleBase"/>
    <w:link w:val="Heading7Char"/>
    <w:uiPriority w:val="9"/>
    <w:qFormat/>
    <w:pPr>
      <w:numPr>
        <w:ilvl w:val="6"/>
        <w:numId w:val="2"/>
      </w:numPr>
      <w:tabs>
        <w:tab w:val="clear" w:pos="5040"/>
      </w:tabs>
      <w:ind w:hanging="360"/>
      <w:outlineLvl w:val="6"/>
    </w:pPr>
  </w:style>
  <w:style w:type="paragraph" w:styleId="Heading8">
    <w:name w:val="heading 8"/>
    <w:aliases w:val="8,Appendices Sub-Heading,Appendix Minor,Blank 4,Center Bold,Condition,FigureTitle,Legal Level 1.1.1.,Lev 8,PA Appendix Minor,PR16,T8,action,action1,action2,action3,action4,action5,action6,bijlage,h8,h8 DO NOT USE,req,req2,requirement"/>
    <w:basedOn w:val="HouseStyleBase"/>
    <w:link w:val="Heading8Char"/>
    <w:uiPriority w:val="9"/>
    <w:qFormat/>
    <w:pPr>
      <w:numPr>
        <w:ilvl w:val="7"/>
        <w:numId w:val="2"/>
      </w:numPr>
      <w:tabs>
        <w:tab w:val="clear" w:pos="5040"/>
      </w:tabs>
      <w:ind w:left="5760" w:hanging="360"/>
      <w:outlineLvl w:val="7"/>
    </w:pPr>
  </w:style>
  <w:style w:type="paragraph" w:styleId="Heading9">
    <w:name w:val="heading 9"/>
    <w:aliases w:val="9,App Heading,App1,Appendix heading,Blank 5,Cond'l Reqt.,Heading 9 (defunct),Legal Level 1.1.1.1.,Lev 9,PR17,TableTitle,Titre 10,appendix,h9,h9 DO NOT USE,progress,progress1,progress2,progress3,progress4,rb,req bullet,req1"/>
    <w:basedOn w:val="HouseStyleBase"/>
    <w:link w:val="Heading9Char"/>
    <w:uiPriority w:val="9"/>
    <w:qFormat/>
    <w:pPr>
      <w:numPr>
        <w:ilvl w:val="8"/>
        <w:numId w:val="2"/>
      </w:numPr>
      <w:tabs>
        <w:tab w:val="clear" w:pos="5040"/>
      </w:tabs>
      <w:ind w:left="648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currenthithighlight">
    <w:name w:val="currenthithighlight"/>
    <w:basedOn w:val="DefaultParagraphFont"/>
  </w:style>
  <w:style w:type="character" w:customStyle="1" w:styleId="highlight">
    <w:name w:val="highlight"/>
    <w:basedOn w:val="DefaultParagraphFont"/>
  </w:style>
  <w:style w:type="paragraph" w:styleId="ListParagraph">
    <w:name w:val="List Paragraph"/>
    <w:basedOn w:val="Normal"/>
    <w:uiPriority w:val="34"/>
    <w:qFormat/>
    <w:pPr>
      <w:spacing w:after="240"/>
      <w:ind w:left="7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styleId="BalloonText">
    <w:name w:val="Balloon Text"/>
    <w:basedOn w:val="Normal"/>
    <w:link w:val="BalloonTextChar"/>
    <w:unhideWhenUsed/>
    <w:rPr>
      <w:rFonts w:ascii="Times New Roman" w:hAnsi="Times New Roman" w:cs="Times New Roman"/>
      <w:sz w:val="18"/>
      <w:szCs w:val="18"/>
    </w:rPr>
  </w:style>
  <w:style w:type="character" w:customStyle="1" w:styleId="BalloonTextChar">
    <w:name w:val="Balloon Text Char"/>
    <w:basedOn w:val="DefaultParagraphFont"/>
    <w:link w:val="BalloonText"/>
    <w:rPr>
      <w:rFonts w:ascii="Times New Roman" w:hAnsi="Times New Roman" w:cs="Times New Roman"/>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customStyle="1" w:styleId="Heading1Char">
    <w:name w:val="Heading 1 Char"/>
    <w:aliases w:val="(Alt+1) Char,1 Char,1st level Char,2 Char,A MAJOR/BOLD Char,Attribute Heading 1 Char,H1 Char,Heading 1(Report Only) Char,Level 1 Char,Part Char,Roman 14 B Heading Char,Roman 14 B Heading1 Char,Roman 14 B Heading11 Char,Schedheading Char"/>
    <w:basedOn w:val="DefaultParagraphFont"/>
    <w:link w:val="Heading1"/>
    <w:uiPriority w:val="9"/>
    <w:rPr>
      <w:rFonts w:ascii="Arial" w:eastAsia="STZhongsong" w:hAnsi="Arial" w:cs="Arial"/>
      <w:b/>
      <w:bCs/>
      <w:caps/>
      <w:sz w:val="20"/>
      <w:szCs w:val="20"/>
      <w:lang w:eastAsia="zh-CN"/>
    </w:rPr>
  </w:style>
  <w:style w:type="character" w:customStyle="1" w:styleId="Heading2Char">
    <w:name w:val="Heading 2 Char"/>
    <w:aliases w:val="1.1 Char,1.Seite Char,1st level heading Char,21 Char,2nd level Char,Chapter Char,H2 Char,H21 Char,Head 2 Char,Header 2 Char,Heading 2 Hidden Char,I2 Char,L2 Char,Lev 2 Char,Level 2 Topic Heading Char,List level 2 Char,Reset numbering Char"/>
    <w:basedOn w:val="DefaultParagraphFont"/>
    <w:link w:val="Heading2"/>
    <w:uiPriority w:val="9"/>
    <w:rPr>
      <w:rFonts w:ascii="Times New Roman" w:eastAsia="STZhongsong" w:hAnsi="Times New Roman" w:cs="Times New Roman"/>
      <w:sz w:val="22"/>
      <w:szCs w:val="20"/>
      <w:lang w:eastAsia="zh-CN"/>
    </w:rPr>
  </w:style>
  <w:style w:type="character" w:customStyle="1" w:styleId="Heading3Char">
    <w:name w:val="Heading 3 Char"/>
    <w:aliases w:val="1. Char,1.2 Char,3 Char,31 Char,3rd level Char,Annotationen Char,CT Char,H3 Char,Head 3 Char,ITT t3 Char,L3 Char,Lev 3 Char,Level 1 - 1 Char,Level 3 Topic Heading Char,PA Minor Section Char,Section Char,Subhead Char,TF-Overskrift 3 Char"/>
    <w:basedOn w:val="DefaultParagraphFont"/>
    <w:link w:val="Heading3"/>
    <w:uiPriority w:val="9"/>
    <w:rPr>
      <w:rFonts w:ascii="Times New Roman" w:eastAsia="STZhongsong" w:hAnsi="Times New Roman" w:cs="Times New Roman"/>
      <w:sz w:val="22"/>
      <w:szCs w:val="20"/>
      <w:lang w:eastAsia="zh-CN"/>
    </w:rPr>
  </w:style>
  <w:style w:type="character" w:customStyle="1" w:styleId="Heading4Char">
    <w:name w:val="Heading 4 Char"/>
    <w:aliases w:val="1) Char,1.1.1.1 Char,14 Char,141 Char,1411 Char,142 Char,1421 Char,143 Char,3rd level heading Char,4 Char,41 Char,411 Char,42 Char,421 Char,43 Char,4th level Char,H4 Char,H41 Char,ITT t4 Char,Lev 4 Char,Map Title Char,Map Title1 Char"/>
    <w:basedOn w:val="DefaultParagraphFont"/>
    <w:link w:val="Heading4"/>
    <w:uiPriority w:val="9"/>
    <w:rPr>
      <w:rFonts w:ascii="Arial" w:eastAsia="STZhongsong" w:hAnsi="Arial" w:cs="Arial"/>
      <w:sz w:val="20"/>
      <w:szCs w:val="20"/>
      <w:lang w:eastAsia="zh-CN"/>
    </w:rPr>
  </w:style>
  <w:style w:type="character" w:customStyle="1" w:styleId="Heading5Char">
    <w:name w:val="Heading 5 Char"/>
    <w:aliases w:val="- A Char,Appendix A to X Char,B Char,B1 Char,C Char,H5 Char,Heading 5   Appendix A to X Char,Heading 5(unused) Char,Level 3 - (i) Char,Response Type Char,Response Type1 Char,Response Type2 Char,Response Type3 Char,Response Type4 Char"/>
    <w:basedOn w:val="DefaultParagraphFont"/>
    <w:link w:val="Heading5"/>
    <w:uiPriority w:val="9"/>
    <w:rPr>
      <w:rFonts w:ascii="Times New Roman" w:eastAsia="STZhongsong" w:hAnsi="Times New Roman" w:cs="Times New Roman"/>
      <w:sz w:val="22"/>
      <w:szCs w:val="20"/>
      <w:lang w:eastAsia="zh-CN"/>
    </w:rPr>
  </w:style>
  <w:style w:type="character" w:customStyle="1" w:styleId="Heading6Char">
    <w:name w:val="Heading 6 Char"/>
    <w:aliases w:val="5 Char,Appendix Char,Bullet list Char,H6 Char,H6 DO NOT USE Char,H61 Char,H62 Char,Heading 6  Appendix Y &amp; Z Char,Heading 6(unused) Char,L1 PIP Char,Legal Level 1. Char,Lev 6 Char,Lev 61 Char,Lev 62 Char,Lev 63 Char,Numbered - 6 Char"/>
    <w:basedOn w:val="DefaultParagraphFont"/>
    <w:link w:val="Heading6"/>
    <w:uiPriority w:val="9"/>
    <w:rPr>
      <w:rFonts w:ascii="Times New Roman" w:eastAsia="STZhongsong" w:hAnsi="Times New Roman" w:cs="Times New Roman"/>
      <w:sz w:val="22"/>
      <w:szCs w:val="20"/>
      <w:lang w:eastAsia="zh-CN"/>
    </w:rPr>
  </w:style>
  <w:style w:type="character" w:customStyle="1" w:styleId="Heading7Char">
    <w:name w:val="Heading 7 Char"/>
    <w:aliases w:val="7 Char,Appendix Major Char,Blank 3 Char,ExhibitTitle Char,H7DO NOT USE Char,Heading 7(unused) Char,L2 PIP Char,L7 Char,Legal Level 1.1. Char,Lev 7 Char,Lev 71 Char,Lev 72 Char,Lev 73 Char,Numbered - 7 Char,Numbered - 71 Char,PR15 Char"/>
    <w:basedOn w:val="DefaultParagraphFont"/>
    <w:link w:val="Heading7"/>
    <w:uiPriority w:val="9"/>
    <w:rPr>
      <w:rFonts w:ascii="Times New Roman" w:eastAsia="STZhongsong" w:hAnsi="Times New Roman" w:cs="Times New Roman"/>
      <w:sz w:val="22"/>
      <w:szCs w:val="20"/>
      <w:lang w:eastAsia="zh-CN"/>
    </w:rPr>
  </w:style>
  <w:style w:type="character" w:customStyle="1" w:styleId="Heading8Char">
    <w:name w:val="Heading 8 Char"/>
    <w:aliases w:val="8 Char,Appendices Sub-Heading Char,Appendix Minor Char,Blank 4 Char,Center Bold Char,Condition Char,FigureTitle Char,Legal Level 1.1.1. Char,Lev 8 Char,PA Appendix Minor Char,PR16 Char,T8 Char,action Char,action1 Char,action2 Char,h8 Char"/>
    <w:basedOn w:val="DefaultParagraphFont"/>
    <w:link w:val="Heading8"/>
    <w:uiPriority w:val="9"/>
    <w:rPr>
      <w:rFonts w:ascii="Times New Roman" w:eastAsia="STZhongsong" w:hAnsi="Times New Roman" w:cs="Times New Roman"/>
      <w:sz w:val="22"/>
      <w:szCs w:val="20"/>
      <w:lang w:eastAsia="zh-CN"/>
    </w:rPr>
  </w:style>
  <w:style w:type="character" w:customStyle="1" w:styleId="Heading9Char">
    <w:name w:val="Heading 9 Char"/>
    <w:aliases w:val="9 Char,App Heading Char,App1 Char,Appendix heading Char,Blank 5 Char,Cond'l Reqt. Char,Heading 9 (defunct) Char,Legal Level 1.1.1.1. Char,Lev 9 Char,PR17 Char,TableTitle Char,Titre 10 Char,appendix Char,h9 Char,h9 DO NOT USE Char,rb Char"/>
    <w:basedOn w:val="DefaultParagraphFont"/>
    <w:link w:val="Heading9"/>
    <w:uiPriority w:val="9"/>
    <w:rPr>
      <w:rFonts w:ascii="Times New Roman" w:eastAsia="STZhongsong" w:hAnsi="Times New Roman" w:cs="Times New Roman"/>
      <w:sz w:val="22"/>
      <w:szCs w:val="20"/>
      <w:lang w:eastAsia="zh-CN"/>
    </w:rPr>
  </w:style>
  <w:style w:type="paragraph" w:styleId="EndnoteText">
    <w:name w:val="endnote text"/>
    <w:basedOn w:val="HouseStyleBase"/>
    <w:link w:val="EndnoteTextChar"/>
    <w:semiHidden/>
    <w:pPr>
      <w:spacing w:after="120"/>
      <w:ind w:left="720" w:hanging="720"/>
    </w:pPr>
    <w:rPr>
      <w:sz w:val="18"/>
    </w:rPr>
  </w:style>
  <w:style w:type="character" w:customStyle="1" w:styleId="EndnoteTextChar">
    <w:name w:val="Endnote Text Char"/>
    <w:basedOn w:val="DefaultParagraphFont"/>
    <w:link w:val="EndnoteText"/>
    <w:semiHidden/>
    <w:rPr>
      <w:rFonts w:ascii="Times New Roman" w:eastAsia="STZhongsong" w:hAnsi="Times New Roman" w:cs="Times New Roman"/>
      <w:sz w:val="18"/>
      <w:szCs w:val="20"/>
      <w:lang w:eastAsia="zh-CN"/>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ascii="Arial" w:eastAsia="STZhongsong" w:hAnsi="Arial" w:cs="Times New Roman"/>
      <w:caps/>
      <w:sz w:val="20"/>
      <w:szCs w:val="20"/>
      <w:lang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cs="Times New Roman"/>
      <w:sz w:val="22"/>
      <w:szCs w:val="20"/>
      <w:lang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cs="Times New Roman"/>
      <w:sz w:val="22"/>
      <w:szCs w:val="20"/>
      <w:lang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cs="Times New Roman"/>
      <w:sz w:val="22"/>
      <w:szCs w:val="20"/>
      <w:lang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styleId="Index1">
    <w:name w:val="index 1"/>
    <w:basedOn w:val="Normal"/>
    <w:next w:val="Normal"/>
    <w:semiHidden/>
    <w:pPr>
      <w:tabs>
        <w:tab w:val="right" w:leader="dot" w:pos="9360"/>
      </w:tabs>
      <w:suppressAutoHyphens/>
      <w:ind w:left="1440" w:right="720" w:hanging="1440"/>
    </w:pPr>
    <w:rPr>
      <w:rFonts w:ascii="Times New Roman" w:eastAsia="SimSun" w:hAnsi="Times New Roman" w:cs="Times New Roman"/>
      <w:sz w:val="22"/>
      <w:lang w:eastAsia="zh-CN"/>
    </w:rPr>
  </w:style>
  <w:style w:type="paragraph" w:styleId="Index2">
    <w:name w:val="index 2"/>
    <w:basedOn w:val="Normal"/>
    <w:next w:val="Normal"/>
    <w:semiHidden/>
    <w:pPr>
      <w:tabs>
        <w:tab w:val="right" w:leader="dot" w:pos="9360"/>
      </w:tabs>
      <w:suppressAutoHyphens/>
      <w:ind w:left="1440" w:right="720" w:hanging="720"/>
    </w:pPr>
    <w:rPr>
      <w:rFonts w:ascii="Times New Roman" w:eastAsia="SimSun" w:hAnsi="Times New Roman" w:cs="Times New Roman"/>
      <w:sz w:val="22"/>
      <w:lang w:eastAsia="zh-CN"/>
    </w:r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Caption">
    <w:name w:val="caption"/>
    <w:basedOn w:val="Normal"/>
    <w:next w:val="Normal"/>
    <w:qFormat/>
    <w:rPr>
      <w:rFonts w:ascii="Times New Roman" w:eastAsia="SimSun" w:hAnsi="Times New Roman" w:cs="Times New Roman"/>
      <w:sz w:val="22"/>
      <w:lang w:eastAsia="zh-CN"/>
    </w:rPr>
  </w:style>
  <w:style w:type="character" w:customStyle="1" w:styleId="EquationCaption">
    <w:name w:val="_Equation Caption"/>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 w:val="22"/>
      <w:szCs w:val="20"/>
    </w:rPr>
  </w:style>
  <w:style w:type="paragraph" w:styleId="BodyTextIndent">
    <w:name w:val="Body Text Indent"/>
    <w:basedOn w:val="HouseStyleBase"/>
    <w:link w:val="BodyTextIndentChar"/>
    <w:pPr>
      <w:numPr>
        <w:numId w:val="5"/>
      </w:numPr>
    </w:pPr>
  </w:style>
  <w:style w:type="character" w:customStyle="1" w:styleId="BodyTextIndentChar">
    <w:name w:val="Body Text Indent Char"/>
    <w:basedOn w:val="DefaultParagraphFont"/>
    <w:link w:val="BodyTextIndent"/>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pPr>
      <w:numPr>
        <w:ilvl w:val="1"/>
        <w:numId w:val="5"/>
      </w:numPr>
      <w:tabs>
        <w:tab w:val="clear" w:pos="720"/>
      </w:tabs>
      <w:ind w:left="4320" w:hanging="360"/>
    </w:pPr>
  </w:style>
  <w:style w:type="character" w:customStyle="1" w:styleId="BodyTextIndent2Char">
    <w:name w:val="Body Text Indent 2 Char"/>
    <w:basedOn w:val="DefaultParagraphFont"/>
    <w:link w:val="BodyTextIndent2"/>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pPr>
      <w:ind w:left="1800"/>
    </w:pPr>
  </w:style>
  <w:style w:type="character" w:customStyle="1" w:styleId="BodyTextIndent3Char">
    <w:name w:val="Body Text Indent 3 Char"/>
    <w:basedOn w:val="DefaultParagraphFont"/>
    <w:link w:val="BodyTextIndent3"/>
    <w:rPr>
      <w:rFonts w:ascii="Times New Roman" w:eastAsia="STZhongsong" w:hAnsi="Times New Roman" w:cs="Times New Roman"/>
      <w:sz w:val="22"/>
      <w:szCs w:val="20"/>
      <w:lang w:eastAsia="zh-CN"/>
    </w:r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rFonts w:ascii="Arial" w:hAnsi="Arial" w:cs="Arial"/>
      <w:b/>
      <w:caps/>
      <w:sz w:val="24"/>
      <w:szCs w:val="24"/>
    </w:rPr>
  </w:style>
  <w:style w:type="paragraph" w:customStyle="1" w:styleId="ListBullet1">
    <w:name w:val="List Bullet 1"/>
    <w:basedOn w:val="HouseStyleBase"/>
    <w:pPr>
      <w:numPr>
        <w:numId w:val="7"/>
      </w:numPr>
      <w:tabs>
        <w:tab w:val="clear" w:pos="720"/>
      </w:tabs>
      <w:ind w:hanging="360"/>
    </w:pPr>
  </w:style>
  <w:style w:type="paragraph" w:styleId="ListBullet">
    <w:name w:val="List Bullet"/>
    <w:basedOn w:val="Normal"/>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szCs w:val="20"/>
    </w:rPr>
  </w:style>
  <w:style w:type="paragraph" w:styleId="ListBullet2">
    <w:name w:val="List Bullet 2"/>
    <w:basedOn w:val="HouseStyleBase"/>
    <w:pPr>
      <w:numPr>
        <w:ilvl w:val="1"/>
        <w:numId w:val="7"/>
      </w:numPr>
      <w:tabs>
        <w:tab w:val="clear" w:pos="720"/>
      </w:tabs>
      <w:ind w:left="1440" w:hanging="360"/>
    </w:pPr>
  </w:style>
  <w:style w:type="paragraph" w:customStyle="1" w:styleId="body">
    <w:name w:val="body"/>
    <w:basedOn w:val="Normal"/>
    <w:link w:val="bodyChar"/>
    <w:rPr>
      <w:rFonts w:ascii="Times New Roman" w:eastAsia="SimSun" w:hAnsi="Times New Roman" w:cs="Times New Roman"/>
      <w:sz w:val="22"/>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ascii="Times New Roman" w:eastAsia="SimSun" w:hAnsi="Times New Roman" w:cs="Times New Roman"/>
      <w:sz w:val="22"/>
      <w:lang w:eastAsia="en-GB"/>
    </w:rPr>
  </w:style>
  <w:style w:type="character" w:customStyle="1" w:styleId="bodystrongChar">
    <w:name w:val="body strong Char"/>
    <w:link w:val="bodystrong"/>
    <w:rPr>
      <w:rFonts w:ascii="Times New Roman" w:eastAsia="SimSun" w:hAnsi="Times New Roman" w:cs="Times New Roman"/>
      <w:b/>
      <w:sz w:val="22"/>
      <w:lang w:eastAsia="en-GB"/>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bodycondChar">
    <w:name w:val="body cond Char"/>
    <w:link w:val="bodycond"/>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Pr>
      <w:rFonts w:ascii="Times New Roman" w:eastAsia="SimSun" w:hAnsi="Times New Roman" w:cs="Times New Roman"/>
      <w:b/>
      <w:spacing w:val="-3"/>
      <w:sz w:val="22"/>
      <w:szCs w:val="22"/>
      <w:lang w:eastAsia="en-GB"/>
    </w:rPr>
  </w:style>
  <w:style w:type="character" w:customStyle="1" w:styleId="bodycondstrongcentredChar">
    <w:name w:val="body cond strong centred Char"/>
    <w:basedOn w:val="bodycondstrongChar"/>
    <w:link w:val="bodycondstrongcentred"/>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Pr>
      <w:rFonts w:ascii="Times New Roman" w:eastAsia="SimSun" w:hAnsi="Times New Roman" w:cs="Times New Roman"/>
      <w:b/>
      <w:caps/>
      <w:spacing w:val="-3"/>
      <w:sz w:val="22"/>
      <w:szCs w:val="22"/>
      <w:lang w:eastAsia="en-GB"/>
    </w:rPr>
  </w:style>
  <w:style w:type="paragraph" w:customStyle="1" w:styleId="bodyspaced">
    <w:name w:val="body spaced"/>
    <w:basedOn w:val="body"/>
    <w:pPr>
      <w:spacing w:after="240"/>
    </w:pPr>
  </w:style>
  <w:style w:type="character" w:customStyle="1" w:styleId="bodystrongerChar">
    <w:name w:val="body stronger Char"/>
    <w:link w:val="bodystronger"/>
    <w:rPr>
      <w:rFonts w:ascii="Times New Roman" w:eastAsia="SimSun" w:hAnsi="Times New Roman" w:cs="Times New Roman"/>
      <w:b/>
      <w:caps/>
      <w:sz w:val="22"/>
      <w:szCs w:val="22"/>
      <w:lang w:eastAsia="en-GB"/>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paragraph" w:customStyle="1" w:styleId="HouseStyleBase">
    <w:name w:val="House Style Base"/>
    <w:link w:val="HouseStyleBaseChar"/>
    <w:pPr>
      <w:adjustRightInd w:val="0"/>
      <w:spacing w:after="240"/>
      <w:jc w:val="both"/>
    </w:pPr>
    <w:rPr>
      <w:rFonts w:ascii="Times New Roman" w:eastAsia="STZhongsong" w:hAnsi="Times New Roman" w:cs="Times New Roman"/>
      <w:sz w:val="22"/>
      <w:szCs w:val="20"/>
      <w:lang w:eastAsia="zh-CN"/>
    </w:rPr>
  </w:style>
  <w:style w:type="character" w:customStyle="1" w:styleId="MarginTextChar">
    <w:name w:val="Margin Text Char"/>
    <w:link w:val="MarginText"/>
    <w:rPr>
      <w:rFonts w:ascii="Times New Roman" w:eastAsia="STZhongsong" w:hAnsi="Times New Roman" w:cs="Times New Roman"/>
      <w:sz w:val="22"/>
      <w:szCs w:val="20"/>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ascii="Times New Roman" w:eastAsia="SimSun" w:hAnsi="Times New Roman" w:cs="Times New Roman"/>
      <w:b/>
      <w:caps/>
      <w:sz w:val="22"/>
      <w:szCs w:val="22"/>
      <w:lang w:eastAsia="en-GB"/>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8"/>
      </w:numPr>
      <w:tabs>
        <w:tab w:val="clear" w:pos="720"/>
      </w:tabs>
      <w:ind w:left="1440" w:hanging="360"/>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tabs>
        <w:tab w:val="clear" w:pos="2880"/>
      </w:tabs>
      <w:ind w:left="5760" w:hanging="360"/>
      <w:outlineLvl w:val="1"/>
    </w:pPr>
  </w:style>
  <w:style w:type="paragraph" w:customStyle="1" w:styleId="DefinitionNumbering3">
    <w:name w:val="Definition Numbering 3"/>
    <w:basedOn w:val="HouseStyleBase"/>
    <w:pPr>
      <w:numPr>
        <w:ilvl w:val="4"/>
        <w:numId w:val="5"/>
      </w:numPr>
      <w:tabs>
        <w:tab w:val="clear" w:pos="3600"/>
      </w:tabs>
      <w:ind w:left="6480" w:hanging="360"/>
      <w:outlineLvl w:val="2"/>
    </w:pPr>
  </w:style>
  <w:style w:type="paragraph" w:customStyle="1" w:styleId="DefinitionNumbering4">
    <w:name w:val="Definition Numbering 4"/>
    <w:basedOn w:val="HouseStyleBase"/>
    <w:pPr>
      <w:numPr>
        <w:ilvl w:val="5"/>
        <w:numId w:val="5"/>
      </w:numPr>
      <w:tabs>
        <w:tab w:val="clear" w:pos="2880"/>
      </w:tabs>
      <w:ind w:left="7200" w:hanging="180"/>
      <w:outlineLvl w:val="3"/>
    </w:pPr>
  </w:style>
  <w:style w:type="paragraph" w:customStyle="1" w:styleId="DefinitionNumbering5">
    <w:name w:val="Definition Numbering 5"/>
    <w:basedOn w:val="HouseStyleBase"/>
    <w:pPr>
      <w:numPr>
        <w:ilvl w:val="6"/>
        <w:numId w:val="5"/>
      </w:numPr>
      <w:tabs>
        <w:tab w:val="clear" w:pos="2880"/>
      </w:tabs>
      <w:ind w:left="7920" w:hanging="360"/>
      <w:outlineLvl w:val="4"/>
    </w:pPr>
  </w:style>
  <w:style w:type="paragraph" w:customStyle="1" w:styleId="DefinitionNumbering6">
    <w:name w:val="Definition Numbering 6"/>
    <w:basedOn w:val="HouseStyleBase"/>
    <w:pPr>
      <w:numPr>
        <w:ilvl w:val="7"/>
        <w:numId w:val="5"/>
      </w:numPr>
      <w:tabs>
        <w:tab w:val="clear" w:pos="2880"/>
      </w:tabs>
      <w:ind w:left="8640" w:hanging="360"/>
      <w:outlineLvl w:val="5"/>
    </w:pPr>
  </w:style>
  <w:style w:type="paragraph" w:customStyle="1" w:styleId="DefinitionNumbering7">
    <w:name w:val="Definition Numbering 7"/>
    <w:basedOn w:val="HouseStyleBase"/>
    <w:pPr>
      <w:numPr>
        <w:ilvl w:val="8"/>
        <w:numId w:val="5"/>
      </w:numPr>
      <w:tabs>
        <w:tab w:val="clear" w:pos="2880"/>
      </w:tabs>
      <w:ind w:left="9360" w:hanging="180"/>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tabs>
        <w:tab w:val="clear" w:pos="1800"/>
      </w:tabs>
      <w:ind w:left="2160" w:hanging="180"/>
    </w:pPr>
  </w:style>
  <w:style w:type="paragraph" w:styleId="ListBullet4">
    <w:name w:val="List Bullet 4"/>
    <w:basedOn w:val="HouseStyleBase"/>
    <w:pPr>
      <w:numPr>
        <w:ilvl w:val="3"/>
        <w:numId w:val="7"/>
      </w:numPr>
      <w:tabs>
        <w:tab w:val="clear" w:pos="2880"/>
      </w:tabs>
      <w:ind w:hanging="360"/>
    </w:pPr>
  </w:style>
  <w:style w:type="paragraph" w:styleId="ListBullet5">
    <w:name w:val="List Bullet 5"/>
    <w:basedOn w:val="HouseStyleBase"/>
    <w:pPr>
      <w:numPr>
        <w:ilvl w:val="4"/>
        <w:numId w:val="7"/>
      </w:numPr>
      <w:tabs>
        <w:tab w:val="clear" w:pos="3600"/>
      </w:tabs>
      <w:ind w:hanging="360"/>
    </w:pPr>
  </w:style>
  <w:style w:type="paragraph" w:customStyle="1" w:styleId="ListBullet6">
    <w:name w:val="List Bullet 6"/>
    <w:basedOn w:val="HouseStyleBase"/>
    <w:pPr>
      <w:numPr>
        <w:ilvl w:val="5"/>
        <w:numId w:val="7"/>
      </w:numPr>
      <w:tabs>
        <w:tab w:val="clear" w:pos="4320"/>
      </w:tabs>
      <w:ind w:hanging="180"/>
    </w:pPr>
  </w:style>
  <w:style w:type="paragraph" w:customStyle="1" w:styleId="ListBullet7">
    <w:name w:val="List Bullet 7"/>
    <w:basedOn w:val="HouseStyleBase"/>
    <w:pPr>
      <w:numPr>
        <w:ilvl w:val="6"/>
        <w:numId w:val="7"/>
      </w:numPr>
      <w:tabs>
        <w:tab w:val="clear" w:pos="5040"/>
      </w:tabs>
      <w:ind w:hanging="360"/>
    </w:pPr>
  </w:style>
  <w:style w:type="paragraph" w:customStyle="1" w:styleId="ListBullet8">
    <w:name w:val="List Bullet 8"/>
    <w:basedOn w:val="HouseStyleBase"/>
    <w:pPr>
      <w:numPr>
        <w:ilvl w:val="7"/>
        <w:numId w:val="7"/>
      </w:numPr>
      <w:tabs>
        <w:tab w:val="clear" w:pos="5040"/>
      </w:tabs>
      <w:ind w:left="5760" w:hanging="360"/>
    </w:pPr>
  </w:style>
  <w:style w:type="paragraph" w:customStyle="1" w:styleId="ListBullet9">
    <w:name w:val="List Bullet 9"/>
    <w:basedOn w:val="HouseStyleBase"/>
    <w:pPr>
      <w:numPr>
        <w:ilvl w:val="8"/>
        <w:numId w:val="7"/>
      </w:numPr>
      <w:tabs>
        <w:tab w:val="clear" w:pos="5040"/>
      </w:tabs>
      <w:ind w:left="6480" w:hanging="180"/>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link w:val="ScheduleL2Char"/>
    <w:pPr>
      <w:numPr>
        <w:ilvl w:val="1"/>
        <w:numId w:val="3"/>
      </w:numPr>
      <w:outlineLvl w:val="1"/>
    </w:pPr>
  </w:style>
  <w:style w:type="paragraph" w:customStyle="1" w:styleId="ScheduleL3">
    <w:name w:val="Schedule L3"/>
    <w:basedOn w:val="HouseStyleBase"/>
    <w:link w:val="ScheduleL3Char"/>
    <w:pPr>
      <w:numPr>
        <w:ilvl w:val="2"/>
        <w:numId w:val="3"/>
      </w:numPr>
      <w:tabs>
        <w:tab w:val="clear" w:pos="1800"/>
      </w:tabs>
      <w:ind w:left="2160" w:hanging="180"/>
      <w:outlineLvl w:val="2"/>
    </w:pPr>
  </w:style>
  <w:style w:type="paragraph" w:customStyle="1" w:styleId="ScheduleL4">
    <w:name w:val="Schedule L4"/>
    <w:basedOn w:val="HouseStyleBase"/>
    <w:pPr>
      <w:numPr>
        <w:ilvl w:val="3"/>
        <w:numId w:val="3"/>
      </w:numPr>
      <w:tabs>
        <w:tab w:val="clear" w:pos="2880"/>
      </w:tabs>
      <w:ind w:hanging="360"/>
      <w:outlineLvl w:val="3"/>
    </w:pPr>
  </w:style>
  <w:style w:type="paragraph" w:customStyle="1" w:styleId="ScheduleL5">
    <w:name w:val="Schedule L5"/>
    <w:basedOn w:val="HouseStyleBase"/>
    <w:pPr>
      <w:numPr>
        <w:ilvl w:val="4"/>
        <w:numId w:val="3"/>
      </w:numPr>
      <w:tabs>
        <w:tab w:val="clear" w:pos="3600"/>
      </w:tabs>
      <w:ind w:hanging="360"/>
      <w:outlineLvl w:val="4"/>
    </w:pPr>
  </w:style>
  <w:style w:type="paragraph" w:customStyle="1" w:styleId="ScheduleL6">
    <w:name w:val="Schedule L6"/>
    <w:basedOn w:val="HouseStyleBase"/>
    <w:pPr>
      <w:numPr>
        <w:ilvl w:val="5"/>
        <w:numId w:val="3"/>
      </w:numPr>
      <w:tabs>
        <w:tab w:val="clear" w:pos="4320"/>
      </w:tabs>
      <w:ind w:hanging="180"/>
      <w:outlineLvl w:val="5"/>
    </w:pPr>
  </w:style>
  <w:style w:type="paragraph" w:customStyle="1" w:styleId="ScheduleL7">
    <w:name w:val="Schedule L7"/>
    <w:basedOn w:val="HouseStyleBase"/>
    <w:pPr>
      <w:numPr>
        <w:ilvl w:val="6"/>
        <w:numId w:val="3"/>
      </w:numPr>
      <w:tabs>
        <w:tab w:val="clear" w:pos="5040"/>
      </w:tabs>
      <w:ind w:hanging="360"/>
      <w:outlineLvl w:val="6"/>
    </w:pPr>
  </w:style>
  <w:style w:type="paragraph" w:customStyle="1" w:styleId="ScheduleL8">
    <w:name w:val="Schedule L8"/>
    <w:basedOn w:val="HouseStyleBase"/>
    <w:pPr>
      <w:numPr>
        <w:ilvl w:val="7"/>
        <w:numId w:val="3"/>
      </w:numPr>
      <w:tabs>
        <w:tab w:val="clear" w:pos="5040"/>
      </w:tabs>
      <w:ind w:left="5760" w:hanging="360"/>
      <w:outlineLvl w:val="7"/>
    </w:pPr>
  </w:style>
  <w:style w:type="paragraph" w:customStyle="1" w:styleId="ScheduleL9">
    <w:name w:val="Schedule L9"/>
    <w:basedOn w:val="HouseStyleBase"/>
    <w:pPr>
      <w:numPr>
        <w:ilvl w:val="8"/>
        <w:numId w:val="3"/>
      </w:numPr>
      <w:tabs>
        <w:tab w:val="clear" w:pos="5040"/>
      </w:tabs>
      <w:ind w:left="6480" w:hanging="180"/>
      <w:outlineLvl w:val="8"/>
    </w:pPr>
  </w:style>
  <w:style w:type="paragraph" w:styleId="BodyText2">
    <w:name w:val="Body Text 2"/>
    <w:basedOn w:val="Normal"/>
    <w:link w:val="BodyText2Char"/>
    <w:pPr>
      <w:spacing w:after="120"/>
    </w:pPr>
    <w:rPr>
      <w:rFonts w:ascii="Times New Roman" w:eastAsia="SimSun" w:hAnsi="Times New Roman" w:cs="Times New Roman"/>
      <w:sz w:val="22"/>
      <w:lang w:eastAsia="zh-CN"/>
    </w:rPr>
  </w:style>
  <w:style w:type="character" w:customStyle="1" w:styleId="BodyText2Char">
    <w:name w:val="Body Text 2 Char"/>
    <w:basedOn w:val="DefaultParagraphFont"/>
    <w:link w:val="BodyText2"/>
    <w:rPr>
      <w:rFonts w:ascii="Times New Roman" w:eastAsia="SimSun" w:hAnsi="Times New Roman" w:cs="Times New Roman"/>
      <w:sz w:val="22"/>
      <w:lang w:eastAsia="zh-CN"/>
    </w:rPr>
  </w:style>
  <w:style w:type="paragraph" w:customStyle="1" w:styleId="HouseStyleBaseCentred">
    <w:name w:val="House Style Base Centred"/>
    <w:pPr>
      <w:adjustRightInd w:val="0"/>
      <w:spacing w:after="240"/>
    </w:pPr>
    <w:rPr>
      <w:rFonts w:ascii="Times New Roman" w:eastAsia="STZhongsong" w:hAnsi="Times New Roman" w:cs="Times New Roman"/>
      <w:sz w:val="22"/>
      <w:szCs w:val="20"/>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jc w:val="center"/>
      <w:outlineLvl w:val="1"/>
    </w:pPr>
    <w:rPr>
      <w:b/>
    </w:rPr>
  </w:style>
  <w:style w:type="paragraph" w:customStyle="1" w:styleId="RecitalNumbering2">
    <w:name w:val="Recital Numbering 2"/>
    <w:basedOn w:val="HouseStyleBase"/>
    <w:pPr>
      <w:numPr>
        <w:ilvl w:val="1"/>
        <w:numId w:val="8"/>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pPr>
      <w:numPr>
        <w:ilvl w:val="2"/>
        <w:numId w:val="8"/>
      </w:numPr>
      <w:tabs>
        <w:tab w:val="clear" w:pos="2880"/>
      </w:tabs>
      <w:overflowPunct w:val="0"/>
      <w:autoSpaceDE w:val="0"/>
      <w:autoSpaceDN w:val="0"/>
      <w:ind w:left="2160" w:hanging="180"/>
      <w:textAlignment w:val="baseline"/>
    </w:pPr>
  </w:style>
  <w:style w:type="character" w:customStyle="1" w:styleId="bodychar0">
    <w:name w:val="body char"/>
    <w:basedOn w:val="bodyChar"/>
    <w:qFormat/>
    <w:rPr>
      <w:rFonts w:ascii="Times New Roman" w:eastAsia="SimSun" w:hAnsi="Times New Roman" w:cs="Times New Roman"/>
      <w:sz w:val="22"/>
      <w:lang w:eastAsia="en-GB"/>
    </w:rPr>
  </w:style>
  <w:style w:type="character" w:customStyle="1" w:styleId="bodycondstrongercentredchar0">
    <w:name w:val="body cond stronger centred char"/>
    <w:basedOn w:val="bodycondstrongercentredChar"/>
    <w:qFormat/>
    <w:rPr>
      <w:rFonts w:ascii="Times New Roman" w:eastAsia="SimSun" w:hAnsi="Times New Roman" w:cs="Times New Roman"/>
      <w:b/>
      <w:caps/>
      <w:spacing w:val="-3"/>
      <w:sz w:val="22"/>
      <w:szCs w:val="22"/>
      <w:lang w:eastAsia="en-GB"/>
    </w:rPr>
  </w:style>
  <w:style w:type="character" w:customStyle="1" w:styleId="HouseStyleBaseChar">
    <w:name w:val="House Style Base Char"/>
    <w:link w:val="HouseStyleBase"/>
    <w:rPr>
      <w:rFonts w:ascii="Times New Roman" w:eastAsia="STZhongsong" w:hAnsi="Times New Roman" w:cs="Times New Roman"/>
      <w:sz w:val="22"/>
      <w:szCs w:val="20"/>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ascii="Times New Roman" w:eastAsia="SimSun" w:hAnsi="Times New Roman" w:cs="Times New Roman"/>
      <w:b/>
      <w:sz w:val="22"/>
      <w:lang w:eastAsia="en-GB"/>
    </w:rPr>
  </w:style>
  <w:style w:type="paragraph" w:styleId="Bibliography">
    <w:name w:val="Bibliography"/>
    <w:basedOn w:val="Normal"/>
    <w:next w:val="Normal"/>
    <w:uiPriority w:val="37"/>
    <w:semiHidden/>
    <w:unhideWhenUsed/>
    <w:rPr>
      <w:rFonts w:ascii="Times New Roman" w:eastAsia="SimSun" w:hAnsi="Times New Roman" w:cs="Times New Roman"/>
      <w:sz w:val="22"/>
      <w:lang w:eastAsia="zh-CN"/>
    </w:rPr>
  </w:style>
  <w:style w:type="paragraph" w:styleId="BlockText">
    <w:name w:val="Block Text"/>
    <w:basedOn w:val="Normal"/>
    <w:pPr>
      <w:spacing w:after="120"/>
      <w:ind w:left="1440" w:right="1440"/>
    </w:pPr>
    <w:rPr>
      <w:rFonts w:ascii="Times New Roman" w:eastAsia="SimSun" w:hAnsi="Times New Roman" w:cs="Times New Roman"/>
      <w:sz w:val="22"/>
      <w:lang w:eastAsia="zh-CN"/>
    </w:rPr>
  </w:style>
  <w:style w:type="paragraph" w:styleId="BodyText3">
    <w:name w:val="Body Text 3"/>
    <w:basedOn w:val="Normal"/>
    <w:link w:val="BodyText3Char"/>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Pr>
      <w:rFonts w:ascii="Times New Roman" w:eastAsia="SimSun" w:hAnsi="Times New Roman" w:cs="Times New Roman"/>
      <w:sz w:val="22"/>
      <w:szCs w:val="20"/>
      <w:lang w:eastAsia="zh-CN"/>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2"/>
      <w:szCs w:val="20"/>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rFonts w:ascii="Times New Roman" w:eastAsia="SimSun" w:hAnsi="Times New Roman" w:cs="Times New Roman"/>
      <w:sz w:val="22"/>
      <w:lang w:eastAsia="zh-CN"/>
    </w:rPr>
  </w:style>
  <w:style w:type="character" w:customStyle="1" w:styleId="ClosingChar">
    <w:name w:val="Closing Char"/>
    <w:basedOn w:val="DefaultParagraphFont"/>
    <w:link w:val="Closing"/>
    <w:rPr>
      <w:rFonts w:ascii="Times New Roman" w:eastAsia="SimSun" w:hAnsi="Times New Roman" w:cs="Times New Roman"/>
      <w:sz w:val="22"/>
      <w:lang w:eastAsia="zh-CN"/>
    </w:rPr>
  </w:style>
  <w:style w:type="table" w:styleId="ColorfulGrid">
    <w:name w:val="Colorful Grid"/>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rFonts w:ascii="Times New Roman" w:eastAsia="SimSun" w:hAnsi="Times New Roman" w:cs="Times New Roman"/>
      <w:sz w:val="22"/>
      <w:lang w:eastAsia="zh-CN"/>
    </w:rPr>
  </w:style>
  <w:style w:type="character" w:customStyle="1" w:styleId="DateChar">
    <w:name w:val="Date Char"/>
    <w:basedOn w:val="DefaultParagraphFont"/>
    <w:link w:val="Date"/>
    <w:rPr>
      <w:rFonts w:ascii="Times New Roman" w:eastAsia="SimSun" w:hAnsi="Times New Roman" w:cs="Times New Roman"/>
      <w:sz w:val="22"/>
      <w:lang w:eastAsia="zh-CN"/>
    </w:rPr>
  </w:style>
  <w:style w:type="paragraph" w:styleId="DocumentMap">
    <w:name w:val="Document Map"/>
    <w:basedOn w:val="Normal"/>
    <w:link w:val="DocumentMapChar"/>
    <w:rPr>
      <w:rFonts w:ascii="Tahoma" w:eastAsia="SimSun" w:hAnsi="Tahoma" w:cs="Tahoma"/>
      <w:sz w:val="16"/>
      <w:szCs w:val="16"/>
      <w:lang w:eastAsia="zh-CN"/>
    </w:rPr>
  </w:style>
  <w:style w:type="character" w:customStyle="1" w:styleId="DocumentMapChar">
    <w:name w:val="Document Map Char"/>
    <w:basedOn w:val="DefaultParagraphFont"/>
    <w:link w:val="DocumentMap"/>
    <w:rPr>
      <w:rFonts w:ascii="Tahoma" w:eastAsia="SimSun" w:hAnsi="Tahoma" w:cs="Tahoma"/>
      <w:sz w:val="16"/>
      <w:szCs w:val="16"/>
      <w:lang w:eastAsia="zh-CN"/>
    </w:rPr>
  </w:style>
  <w:style w:type="paragraph" w:styleId="E-mailSignature">
    <w:name w:val="E-mail Signature"/>
    <w:basedOn w:val="Normal"/>
    <w:link w:val="E-mailSignatureChar"/>
    <w:rPr>
      <w:rFonts w:ascii="Times New Roman" w:eastAsia="SimSun" w:hAnsi="Times New Roman" w:cs="Times New Roman"/>
      <w:sz w:val="22"/>
      <w:lang w:eastAsia="zh-CN"/>
    </w:rPr>
  </w:style>
  <w:style w:type="character" w:customStyle="1" w:styleId="E-mailSignatureChar">
    <w:name w:val="E-mail Signature Char"/>
    <w:basedOn w:val="DefaultParagraphFont"/>
    <w:link w:val="E-mailSignature"/>
    <w:rPr>
      <w:rFonts w:ascii="Times New Roman" w:eastAsia="SimSun" w:hAnsi="Times New Roman" w:cs="Times New Roman"/>
      <w:sz w:val="22"/>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cs="Times New Roman"/>
      <w:lang w:eastAsia="zh-CN"/>
    </w:rPr>
  </w:style>
  <w:style w:type="paragraph" w:styleId="EnvelopeReturn">
    <w:name w:val="envelope return"/>
    <w:basedOn w:val="Normal"/>
    <w:rPr>
      <w:rFonts w:ascii="Cambria" w:eastAsia="Times New Roman" w:hAnsi="Cambria" w:cs="Times New Roman"/>
      <w:sz w:val="20"/>
      <w:szCs w:val="20"/>
      <w:lang w:eastAsia="zh-CN"/>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rFonts w:ascii="Times New Roman" w:eastAsia="SimSun" w:hAnsi="Times New Roman" w:cs="Times New Roman"/>
      <w:i/>
      <w:iCs/>
      <w:sz w:val="22"/>
      <w:lang w:eastAsia="zh-CN"/>
    </w:rPr>
  </w:style>
  <w:style w:type="character" w:customStyle="1" w:styleId="HTMLAddressChar">
    <w:name w:val="HTML Address Char"/>
    <w:basedOn w:val="DefaultParagraphFont"/>
    <w:link w:val="HTMLAddress"/>
    <w:rPr>
      <w:rFonts w:ascii="Times New Roman" w:eastAsia="SimSun" w:hAnsi="Times New Roman" w:cs="Times New Roman"/>
      <w:i/>
      <w:iCs/>
      <w:sz w:val="22"/>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Pr>
      <w:rFonts w:ascii="Courier New" w:eastAsia="SimSun" w:hAnsi="Courier New" w:cs="Courier New"/>
      <w:sz w:val="20"/>
      <w:szCs w:val="20"/>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3">
    <w:name w:val="index 3"/>
    <w:basedOn w:val="Normal"/>
    <w:next w:val="Normal"/>
    <w:autoRedefine/>
    <w:pPr>
      <w:ind w:left="660" w:hanging="220"/>
    </w:pPr>
    <w:rPr>
      <w:rFonts w:ascii="Times New Roman" w:eastAsia="SimSun" w:hAnsi="Times New Roman" w:cs="Times New Roman"/>
      <w:sz w:val="22"/>
      <w:lang w:eastAsia="zh-CN"/>
    </w:rPr>
  </w:style>
  <w:style w:type="paragraph" w:styleId="Index4">
    <w:name w:val="index 4"/>
    <w:basedOn w:val="Normal"/>
    <w:next w:val="Normal"/>
    <w:autoRedefine/>
    <w:pPr>
      <w:ind w:left="880" w:hanging="220"/>
    </w:pPr>
    <w:rPr>
      <w:rFonts w:ascii="Times New Roman" w:eastAsia="SimSun" w:hAnsi="Times New Roman" w:cs="Times New Roman"/>
      <w:sz w:val="22"/>
      <w:lang w:eastAsia="zh-CN"/>
    </w:rPr>
  </w:style>
  <w:style w:type="paragraph" w:styleId="Index5">
    <w:name w:val="index 5"/>
    <w:basedOn w:val="Normal"/>
    <w:next w:val="Normal"/>
    <w:autoRedefine/>
    <w:pPr>
      <w:ind w:left="1100" w:hanging="220"/>
    </w:pPr>
    <w:rPr>
      <w:rFonts w:ascii="Times New Roman" w:eastAsia="SimSun" w:hAnsi="Times New Roman" w:cs="Times New Roman"/>
      <w:sz w:val="22"/>
      <w:lang w:eastAsia="zh-CN"/>
    </w:rPr>
  </w:style>
  <w:style w:type="paragraph" w:styleId="Index6">
    <w:name w:val="index 6"/>
    <w:basedOn w:val="Normal"/>
    <w:next w:val="Normal"/>
    <w:autoRedefine/>
    <w:pPr>
      <w:ind w:left="1320" w:hanging="220"/>
    </w:pPr>
    <w:rPr>
      <w:rFonts w:ascii="Times New Roman" w:eastAsia="SimSun" w:hAnsi="Times New Roman" w:cs="Times New Roman"/>
      <w:sz w:val="22"/>
      <w:lang w:eastAsia="zh-CN"/>
    </w:rPr>
  </w:style>
  <w:style w:type="paragraph" w:styleId="Index7">
    <w:name w:val="index 7"/>
    <w:basedOn w:val="Normal"/>
    <w:next w:val="Normal"/>
    <w:autoRedefine/>
    <w:pPr>
      <w:ind w:left="1540" w:hanging="220"/>
    </w:pPr>
    <w:rPr>
      <w:rFonts w:ascii="Times New Roman" w:eastAsia="SimSun" w:hAnsi="Times New Roman" w:cs="Times New Roman"/>
      <w:sz w:val="22"/>
      <w:lang w:eastAsia="zh-CN"/>
    </w:rPr>
  </w:style>
  <w:style w:type="paragraph" w:styleId="Index8">
    <w:name w:val="index 8"/>
    <w:basedOn w:val="Normal"/>
    <w:next w:val="Normal"/>
    <w:autoRedefine/>
    <w:pPr>
      <w:ind w:left="1760" w:hanging="220"/>
    </w:pPr>
    <w:rPr>
      <w:rFonts w:ascii="Times New Roman" w:eastAsia="SimSun" w:hAnsi="Times New Roman" w:cs="Times New Roman"/>
      <w:sz w:val="22"/>
      <w:lang w:eastAsia="zh-CN"/>
    </w:rPr>
  </w:style>
  <w:style w:type="paragraph" w:styleId="Index9">
    <w:name w:val="index 9"/>
    <w:basedOn w:val="Normal"/>
    <w:next w:val="Normal"/>
    <w:autoRedefine/>
    <w:pPr>
      <w:ind w:left="1980" w:hanging="220"/>
    </w:pPr>
    <w:rPr>
      <w:rFonts w:ascii="Times New Roman" w:eastAsia="SimSun" w:hAnsi="Times New Roman" w:cs="Times New Roman"/>
      <w:sz w:val="22"/>
      <w:lang w:eastAsia="zh-CN"/>
    </w:rPr>
  </w:style>
  <w:style w:type="paragraph" w:styleId="IndexHeading">
    <w:name w:val="index heading"/>
    <w:basedOn w:val="Normal"/>
    <w:next w:val="Index1"/>
    <w:rPr>
      <w:rFonts w:ascii="Cambria" w:eastAsia="Times New Roman" w:hAnsi="Cambria" w:cs="Times New Roman"/>
      <w:b/>
      <w:bCs/>
      <w:sz w:val="22"/>
      <w:lang w:eastAsia="zh-CN"/>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ascii="Times New Roman" w:eastAsia="SimSun" w:hAnsi="Times New Roman" w:cs="Times New Roman"/>
      <w:b/>
      <w:bCs/>
      <w:i/>
      <w:iCs/>
      <w:color w:val="4F81BD"/>
      <w:sz w:val="22"/>
      <w:lang w:eastAsia="zh-CN"/>
    </w:rPr>
  </w:style>
  <w:style w:type="character" w:customStyle="1" w:styleId="IntenseQuoteChar">
    <w:name w:val="Intense Quote Char"/>
    <w:basedOn w:val="DefaultParagraphFont"/>
    <w:link w:val="IntenseQuote"/>
    <w:uiPriority w:val="30"/>
    <w:rPr>
      <w:rFonts w:ascii="Times New Roman" w:eastAsia="SimSun" w:hAnsi="Times New Roman" w:cs="Times New Roman"/>
      <w:b/>
      <w:bCs/>
      <w:i/>
      <w:iCs/>
      <w:color w:val="4F81BD"/>
      <w:sz w:val="22"/>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rPr>
      <w:rFonts w:ascii="Times New Roman" w:eastAsia="SimSun" w:hAnsi="Times New Roman" w:cs="Times New Roman"/>
      <w:sz w:val="22"/>
      <w:lang w:eastAsia="zh-CN"/>
    </w:rPr>
  </w:style>
  <w:style w:type="paragraph" w:styleId="List2">
    <w:name w:val="List 2"/>
    <w:basedOn w:val="Normal"/>
    <w:pPr>
      <w:ind w:left="566" w:hanging="283"/>
      <w:contextualSpacing/>
    </w:pPr>
    <w:rPr>
      <w:rFonts w:ascii="Times New Roman" w:eastAsia="SimSun" w:hAnsi="Times New Roman" w:cs="Times New Roman"/>
      <w:sz w:val="22"/>
      <w:lang w:eastAsia="zh-CN"/>
    </w:rPr>
  </w:style>
  <w:style w:type="paragraph" w:styleId="List3">
    <w:name w:val="List 3"/>
    <w:basedOn w:val="Normal"/>
    <w:pPr>
      <w:ind w:left="849" w:hanging="283"/>
      <w:contextualSpacing/>
    </w:pPr>
    <w:rPr>
      <w:rFonts w:ascii="Times New Roman" w:eastAsia="SimSun" w:hAnsi="Times New Roman" w:cs="Times New Roman"/>
      <w:sz w:val="22"/>
      <w:lang w:eastAsia="zh-CN"/>
    </w:rPr>
  </w:style>
  <w:style w:type="paragraph" w:styleId="List4">
    <w:name w:val="List 4"/>
    <w:basedOn w:val="Normal"/>
    <w:pPr>
      <w:ind w:left="1132" w:hanging="283"/>
      <w:contextualSpacing/>
    </w:pPr>
    <w:rPr>
      <w:rFonts w:ascii="Times New Roman" w:eastAsia="SimSun" w:hAnsi="Times New Roman" w:cs="Times New Roman"/>
      <w:sz w:val="22"/>
      <w:lang w:eastAsia="zh-CN"/>
    </w:rPr>
  </w:style>
  <w:style w:type="paragraph" w:styleId="List5">
    <w:name w:val="List 5"/>
    <w:basedOn w:val="Normal"/>
    <w:pPr>
      <w:ind w:left="1415" w:hanging="283"/>
      <w:contextualSpacing/>
    </w:pPr>
    <w:rPr>
      <w:rFonts w:ascii="Times New Roman" w:eastAsia="SimSun" w:hAnsi="Times New Roman" w:cs="Times New Roman"/>
      <w:sz w:val="22"/>
      <w:lang w:eastAsia="zh-CN"/>
    </w:rPr>
  </w:style>
  <w:style w:type="paragraph" w:styleId="ListContinue">
    <w:name w:val="List Continue"/>
    <w:basedOn w:val="Normal"/>
    <w:pPr>
      <w:spacing w:after="120"/>
      <w:ind w:left="283"/>
      <w:contextualSpacing/>
    </w:pPr>
    <w:rPr>
      <w:rFonts w:ascii="Times New Roman" w:eastAsia="SimSun" w:hAnsi="Times New Roman" w:cs="Times New Roman"/>
      <w:sz w:val="22"/>
      <w:lang w:eastAsia="zh-CN"/>
    </w:rPr>
  </w:style>
  <w:style w:type="paragraph" w:styleId="ListContinue2">
    <w:name w:val="List Continue 2"/>
    <w:basedOn w:val="Normal"/>
    <w:pPr>
      <w:spacing w:after="120"/>
      <w:ind w:left="566"/>
      <w:contextualSpacing/>
    </w:pPr>
    <w:rPr>
      <w:rFonts w:ascii="Times New Roman" w:eastAsia="SimSun" w:hAnsi="Times New Roman" w:cs="Times New Roman"/>
      <w:sz w:val="22"/>
      <w:lang w:eastAsia="zh-CN"/>
    </w:rPr>
  </w:style>
  <w:style w:type="paragraph" w:styleId="ListContinue3">
    <w:name w:val="List Continue 3"/>
    <w:basedOn w:val="Normal"/>
    <w:pPr>
      <w:spacing w:after="120"/>
      <w:ind w:left="849"/>
      <w:contextualSpacing/>
    </w:pPr>
    <w:rPr>
      <w:rFonts w:ascii="Times New Roman" w:eastAsia="SimSun" w:hAnsi="Times New Roman" w:cs="Times New Roman"/>
      <w:sz w:val="22"/>
      <w:lang w:eastAsia="zh-CN"/>
    </w:rPr>
  </w:style>
  <w:style w:type="paragraph" w:styleId="ListContinue4">
    <w:name w:val="List Continue 4"/>
    <w:basedOn w:val="Normal"/>
    <w:pPr>
      <w:spacing w:after="120"/>
      <w:ind w:left="1132"/>
      <w:contextualSpacing/>
    </w:pPr>
    <w:rPr>
      <w:rFonts w:ascii="Times New Roman" w:eastAsia="SimSun" w:hAnsi="Times New Roman" w:cs="Times New Roman"/>
      <w:sz w:val="22"/>
      <w:lang w:eastAsia="zh-CN"/>
    </w:rPr>
  </w:style>
  <w:style w:type="paragraph" w:styleId="ListContinue5">
    <w:name w:val="List Continue 5"/>
    <w:basedOn w:val="Normal"/>
    <w:pPr>
      <w:spacing w:after="120"/>
      <w:ind w:left="1415"/>
      <w:contextualSpacing/>
    </w:pPr>
    <w:rPr>
      <w:rFonts w:ascii="Times New Roman" w:eastAsia="SimSun" w:hAnsi="Times New Roman" w:cs="Times New Roman"/>
      <w:sz w:val="22"/>
      <w:lang w:eastAsia="zh-CN"/>
    </w:rPr>
  </w:style>
  <w:style w:type="paragraph" w:styleId="ListNumber">
    <w:name w:val="List Number"/>
    <w:basedOn w:val="Normal"/>
    <w:pPr>
      <w:numPr>
        <w:numId w:val="9"/>
      </w:numPr>
      <w:contextualSpacing/>
    </w:pPr>
    <w:rPr>
      <w:rFonts w:ascii="Times New Roman" w:eastAsia="SimSun" w:hAnsi="Times New Roman" w:cs="Times New Roman"/>
      <w:sz w:val="22"/>
      <w:lang w:eastAsia="zh-CN"/>
    </w:rPr>
  </w:style>
  <w:style w:type="paragraph" w:styleId="ListNumber2">
    <w:name w:val="List Number 2"/>
    <w:basedOn w:val="Normal"/>
    <w:pPr>
      <w:numPr>
        <w:numId w:val="10"/>
      </w:numPr>
      <w:contextualSpacing/>
    </w:pPr>
    <w:rPr>
      <w:rFonts w:ascii="Times New Roman" w:eastAsia="SimSun" w:hAnsi="Times New Roman" w:cs="Times New Roman"/>
      <w:sz w:val="22"/>
      <w:lang w:eastAsia="zh-CN"/>
    </w:rPr>
  </w:style>
  <w:style w:type="paragraph" w:styleId="ListNumber3">
    <w:name w:val="List Number 3"/>
    <w:basedOn w:val="Normal"/>
    <w:pPr>
      <w:numPr>
        <w:numId w:val="11"/>
      </w:numPr>
      <w:contextualSpacing/>
    </w:pPr>
    <w:rPr>
      <w:rFonts w:ascii="Times New Roman" w:eastAsia="SimSun" w:hAnsi="Times New Roman" w:cs="Times New Roman"/>
      <w:sz w:val="22"/>
      <w:lang w:eastAsia="zh-CN"/>
    </w:rPr>
  </w:style>
  <w:style w:type="paragraph" w:styleId="ListNumber4">
    <w:name w:val="List Number 4"/>
    <w:basedOn w:val="Normal"/>
    <w:pPr>
      <w:numPr>
        <w:numId w:val="12"/>
      </w:numPr>
      <w:contextualSpacing/>
    </w:pPr>
    <w:rPr>
      <w:rFonts w:ascii="Times New Roman" w:eastAsia="SimSun" w:hAnsi="Times New Roman" w:cs="Times New Roman"/>
      <w:sz w:val="22"/>
      <w:lang w:eastAsia="zh-CN"/>
    </w:rPr>
  </w:style>
  <w:style w:type="paragraph" w:styleId="ListNumber5">
    <w:name w:val="List Number 5"/>
    <w:basedOn w:val="Normal"/>
    <w:pPr>
      <w:numPr>
        <w:numId w:val="13"/>
      </w:numPr>
      <w:contextualSpacing/>
    </w:pPr>
    <w:rPr>
      <w:rFonts w:ascii="Times New Roman" w:eastAsia="SimSun" w:hAnsi="Times New Roman" w:cs="Times New Roman"/>
      <w:sz w:val="22"/>
      <w:lang w:eastAsia="zh-C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table" w:styleId="MediumGrid1">
    <w:name w:val="Medium Grid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eastAsia="zh-CN"/>
    </w:rPr>
  </w:style>
  <w:style w:type="character" w:customStyle="1" w:styleId="MessageHeaderChar">
    <w:name w:val="Message Header Char"/>
    <w:basedOn w:val="DefaultParagraphFont"/>
    <w:link w:val="MessageHeader"/>
    <w:rPr>
      <w:rFonts w:ascii="Cambria" w:eastAsia="Times New Roman" w:hAnsi="Cambria" w:cs="Times New Roman"/>
      <w:shd w:val="pct20" w:color="auto" w:fill="auto"/>
      <w:lang w:eastAsia="zh-CN"/>
    </w:rPr>
  </w:style>
  <w:style w:type="paragraph" w:styleId="NoSpacing">
    <w:name w:val="No Spacing"/>
    <w:uiPriority w:val="1"/>
    <w:qFormat/>
    <w:rPr>
      <w:rFonts w:ascii="Times New Roman" w:eastAsia="SimSun" w:hAnsi="Times New Roman" w:cs="Times New Roman"/>
      <w:sz w:val="22"/>
      <w:lang w:eastAsia="zh-CN"/>
    </w:rPr>
  </w:style>
  <w:style w:type="paragraph" w:styleId="NormalWeb">
    <w:name w:val="Normal (Web)"/>
    <w:basedOn w:val="Normal"/>
    <w:rPr>
      <w:rFonts w:ascii="Times New Roman" w:eastAsia="SimSun" w:hAnsi="Times New Roman" w:cs="Times New Roman"/>
      <w:lang w:eastAsia="zh-CN"/>
    </w:rPr>
  </w:style>
  <w:style w:type="paragraph" w:styleId="NormalIndent">
    <w:name w:val="Normal Indent"/>
    <w:basedOn w:val="Normal"/>
    <w:pPr>
      <w:ind w:left="720"/>
    </w:pPr>
    <w:rPr>
      <w:rFonts w:ascii="Times New Roman" w:eastAsia="SimSun" w:hAnsi="Times New Roman" w:cs="Times New Roman"/>
      <w:sz w:val="22"/>
      <w:lang w:eastAsia="zh-CN"/>
    </w:rPr>
  </w:style>
  <w:style w:type="paragraph" w:customStyle="1" w:styleId="NoteHeading1">
    <w:name w:val="Note Heading1"/>
    <w:basedOn w:val="Normal"/>
    <w:next w:val="Normal"/>
    <w:link w:val="NoteHeadingChar"/>
    <w:rPr>
      <w:rFonts w:ascii="Times New Roman" w:eastAsia="SimSun" w:hAnsi="Times New Roman" w:cs="Times New Roman"/>
      <w:sz w:val="22"/>
      <w:lang w:eastAsia="zh-CN"/>
    </w:rPr>
  </w:style>
  <w:style w:type="character" w:customStyle="1" w:styleId="NoteHeadingChar">
    <w:name w:val="Note Heading Char"/>
    <w:basedOn w:val="DefaultParagraphFont"/>
    <w:link w:val="NoteHeading1"/>
    <w:rPr>
      <w:rFonts w:ascii="Times New Roman" w:eastAsia="SimSun" w:hAnsi="Times New Roman" w:cs="Times New Roman"/>
      <w:sz w:val="22"/>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eastAsia="SimSun" w:hAnsi="Courier New" w:cs="Courier New"/>
      <w:sz w:val="20"/>
      <w:szCs w:val="20"/>
      <w:lang w:eastAsia="zh-CN"/>
    </w:rPr>
  </w:style>
  <w:style w:type="character" w:customStyle="1" w:styleId="PlainTextChar">
    <w:name w:val="Plain Text Char"/>
    <w:basedOn w:val="DefaultParagraphFont"/>
    <w:link w:val="PlainText"/>
    <w:rPr>
      <w:rFonts w:ascii="Courier New" w:eastAsia="SimSun" w:hAnsi="Courier New" w:cs="Courier New"/>
      <w:sz w:val="20"/>
      <w:szCs w:val="20"/>
      <w:lang w:eastAsia="zh-CN"/>
    </w:rPr>
  </w:style>
  <w:style w:type="paragraph" w:styleId="Quote">
    <w:name w:val="Quote"/>
    <w:basedOn w:val="Normal"/>
    <w:next w:val="Normal"/>
    <w:link w:val="QuoteChar"/>
    <w:uiPriority w:val="29"/>
    <w:qFormat/>
    <w:rPr>
      <w:rFonts w:ascii="Times New Roman" w:eastAsia="SimSun" w:hAnsi="Times New Roman" w:cs="Times New Roman"/>
      <w:i/>
      <w:iCs/>
      <w:color w:val="000000"/>
      <w:sz w:val="22"/>
      <w:lang w:eastAsia="zh-CN"/>
    </w:rPr>
  </w:style>
  <w:style w:type="character" w:customStyle="1" w:styleId="QuoteChar">
    <w:name w:val="Quote Char"/>
    <w:basedOn w:val="DefaultParagraphFont"/>
    <w:link w:val="Quote"/>
    <w:uiPriority w:val="29"/>
    <w:rPr>
      <w:rFonts w:ascii="Times New Roman" w:eastAsia="SimSun" w:hAnsi="Times New Roman" w:cs="Times New Roman"/>
      <w:i/>
      <w:iCs/>
      <w:color w:val="000000"/>
      <w:sz w:val="22"/>
      <w:lang w:eastAsia="zh-CN"/>
    </w:rPr>
  </w:style>
  <w:style w:type="paragraph" w:styleId="Salutation">
    <w:name w:val="Salutation"/>
    <w:basedOn w:val="Normal"/>
    <w:next w:val="Normal"/>
    <w:link w:val="SalutationChar"/>
    <w:rPr>
      <w:rFonts w:ascii="Times New Roman" w:eastAsia="SimSun" w:hAnsi="Times New Roman" w:cs="Times New Roman"/>
      <w:sz w:val="22"/>
      <w:lang w:eastAsia="zh-CN"/>
    </w:rPr>
  </w:style>
  <w:style w:type="character" w:customStyle="1" w:styleId="SalutationChar">
    <w:name w:val="Salutation Char"/>
    <w:basedOn w:val="DefaultParagraphFont"/>
    <w:link w:val="Salutation"/>
    <w:rPr>
      <w:rFonts w:ascii="Times New Roman" w:eastAsia="SimSun" w:hAnsi="Times New Roman" w:cs="Times New Roman"/>
      <w:sz w:val="22"/>
      <w:lang w:eastAsia="zh-CN"/>
    </w:rPr>
  </w:style>
  <w:style w:type="paragraph" w:styleId="Signature">
    <w:name w:val="Signature"/>
    <w:basedOn w:val="Normal"/>
    <w:link w:val="SignatureChar"/>
    <w:pPr>
      <w:ind w:left="4252"/>
    </w:pPr>
    <w:rPr>
      <w:rFonts w:ascii="Times New Roman" w:eastAsia="SimSun" w:hAnsi="Times New Roman" w:cs="Times New Roman"/>
      <w:sz w:val="22"/>
      <w:lang w:eastAsia="zh-CN"/>
    </w:rPr>
  </w:style>
  <w:style w:type="character" w:customStyle="1" w:styleId="SignatureChar">
    <w:name w:val="Signature Char"/>
    <w:basedOn w:val="DefaultParagraphFont"/>
    <w:link w:val="Signature"/>
    <w:rPr>
      <w:rFonts w:ascii="Times New Roman" w:eastAsia="SimSun" w:hAnsi="Times New Roman" w:cs="Times New Roman"/>
      <w:sz w:val="22"/>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cs="Times New Roman"/>
      <w:lang w:eastAsia="zh-CN"/>
    </w:rPr>
  </w:style>
  <w:style w:type="character" w:customStyle="1" w:styleId="SubtitleChar">
    <w:name w:val="Subtitle Char"/>
    <w:basedOn w:val="DefaultParagraphFont"/>
    <w:link w:val="Subtitle"/>
    <w:rPr>
      <w:rFonts w:ascii="Cambria" w:eastAsia="Times New Roman" w:hAnsi="Cambria" w:cs="Times New Roman"/>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rPr>
      <w:rFonts w:ascii="Times New Roman" w:eastAsia="SimSun" w:hAnsi="Times New Roman" w:cs="Times New Roman"/>
      <w:sz w:val="22"/>
      <w:lang w:eastAsia="zh-CN"/>
    </w:rPr>
  </w:style>
  <w:style w:type="paragraph" w:styleId="TableofFigures">
    <w:name w:val="table of figures"/>
    <w:basedOn w:val="Normal"/>
    <w:next w:val="Normal"/>
    <w:rPr>
      <w:rFonts w:ascii="Times New Roman" w:eastAsia="SimSun" w:hAnsi="Times New Roman" w:cs="Times New Roman"/>
      <w:sz w:val="22"/>
      <w:lang w:eastAsia="zh-CN"/>
    </w:rPr>
  </w:style>
  <w:style w:type="table" w:styleId="TableProfessional">
    <w:name w:val="Table Professional"/>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KMNormal">
    <w:name w:val="KM Normal"/>
    <w:basedOn w:val="Normal"/>
    <w:pPr>
      <w:tabs>
        <w:tab w:val="left" w:pos="9889"/>
      </w:tabs>
      <w:overflowPunct w:val="0"/>
      <w:autoSpaceDE w:val="0"/>
      <w:autoSpaceDN w:val="0"/>
      <w:adjustRightInd w:val="0"/>
      <w:spacing w:before="120"/>
      <w:ind w:right="-1367"/>
      <w:textAlignment w:val="baseline"/>
    </w:pPr>
    <w:rPr>
      <w:rFonts w:ascii="Times New Roman" w:eastAsia="Times New Roman" w:hAnsi="Times New Roman" w:cs="Times New Roman"/>
      <w:b/>
      <w:sz w:val="22"/>
      <w:szCs w:val="20"/>
    </w:rPr>
  </w:style>
  <w:style w:type="paragraph" w:customStyle="1" w:styleId="KMMargintext">
    <w:name w:val="KM Margin text"/>
    <w:basedOn w:val="Normal"/>
    <w:pPr>
      <w:overflowPunct w:val="0"/>
      <w:autoSpaceDE w:val="0"/>
      <w:autoSpaceDN w:val="0"/>
      <w:adjustRightInd w:val="0"/>
      <w:spacing w:before="240" w:after="240"/>
      <w:jc w:val="both"/>
      <w:textAlignment w:val="baseline"/>
    </w:pPr>
    <w:rPr>
      <w:rFonts w:ascii="Times New Roman" w:eastAsia="Times New Roman" w:hAnsi="Times New Roman" w:cs="Times New Roman"/>
      <w:sz w:val="22"/>
      <w:szCs w:val="20"/>
    </w:rPr>
  </w:style>
  <w:style w:type="paragraph" w:styleId="Revision">
    <w:name w:val="Revision"/>
    <w:hidden/>
    <w:uiPriority w:val="99"/>
    <w:semiHidden/>
    <w:rPr>
      <w:rFonts w:ascii="Times New Roman" w:eastAsia="SimSun" w:hAnsi="Times New Roman" w:cs="Times New Roman"/>
      <w:sz w:val="22"/>
      <w:lang w:eastAsia="zh-CN"/>
    </w:rPr>
  </w:style>
  <w:style w:type="paragraph" w:customStyle="1" w:styleId="Sch1styleclause">
    <w:name w:val="Sch  (1style) clause"/>
    <w:basedOn w:val="Normal"/>
    <w:pPr>
      <w:numPr>
        <w:numId w:val="18"/>
      </w:numPr>
      <w:spacing w:before="320" w:line="3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pPr>
      <w:numPr>
        <w:ilvl w:val="1"/>
        <w:numId w:val="18"/>
      </w:numPr>
      <w:spacing w:before="280" w:after="120" w:line="300" w:lineRule="atLeast"/>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pPr>
      <w:numPr>
        <w:ilvl w:val="2"/>
        <w:numId w:val="18"/>
      </w:numPr>
      <w:spacing w:after="120" w:line="300" w:lineRule="atLeast"/>
      <w:jc w:val="both"/>
    </w:pPr>
    <w:rPr>
      <w:rFonts w:ascii="Times New Roman" w:eastAsia="Times New Roman" w:hAnsi="Times New Roman" w:cs="Times New Roman"/>
      <w:sz w:val="22"/>
      <w:szCs w:val="20"/>
    </w:rPr>
  </w:style>
  <w:style w:type="paragraph" w:customStyle="1" w:styleId="Sch1stylesubpara">
    <w:name w:val="Sch (1style) sub para"/>
    <w:basedOn w:val="Heading4"/>
    <w:pPr>
      <w:numPr>
        <w:numId w:val="18"/>
      </w:numPr>
      <w:tabs>
        <w:tab w:val="clear" w:pos="2421"/>
      </w:tabs>
      <w:ind w:left="2880" w:hanging="360"/>
    </w:pPr>
  </w:style>
  <w:style w:type="paragraph" w:customStyle="1" w:styleId="1Parties">
    <w:name w:val="(1) Parties"/>
    <w:basedOn w:val="Normal"/>
    <w:pPr>
      <w:numPr>
        <w:numId w:val="16"/>
      </w:numPr>
      <w:spacing w:before="120" w:after="120" w:line="300" w:lineRule="atLeast"/>
      <w:jc w:val="both"/>
    </w:pPr>
    <w:rPr>
      <w:rFonts w:ascii="Times New Roman" w:eastAsia="Times New Roman" w:hAnsi="Times New Roman" w:cs="Times New Roman"/>
      <w:sz w:val="22"/>
      <w:szCs w:val="20"/>
    </w:rPr>
  </w:style>
  <w:style w:type="paragraph" w:customStyle="1" w:styleId="ABackground">
    <w:name w:val="(A) Background"/>
    <w:basedOn w:val="Normal"/>
    <w:pPr>
      <w:numPr>
        <w:numId w:val="17"/>
      </w:numPr>
      <w:spacing w:before="120" w:after="120" w:line="300" w:lineRule="atLeast"/>
      <w:jc w:val="both"/>
    </w:pPr>
    <w:rPr>
      <w:rFonts w:ascii="Times New Roman" w:eastAsia="Times New Roman" w:hAnsi="Times New Roman" w:cs="Times New Roman"/>
      <w:sz w:val="22"/>
      <w:szCs w:val="20"/>
    </w:rPr>
  </w:style>
  <w:style w:type="paragraph" w:customStyle="1" w:styleId="Scha">
    <w:name w:val="Sch a)"/>
    <w:basedOn w:val="Normal"/>
    <w:pPr>
      <w:numPr>
        <w:ilvl w:val="1"/>
        <w:numId w:val="16"/>
      </w:numPr>
      <w:spacing w:line="300" w:lineRule="atLeast"/>
      <w:jc w:val="both"/>
    </w:pPr>
    <w:rPr>
      <w:rFonts w:ascii="Times New Roman" w:eastAsia="Times New Roman" w:hAnsi="Times New Roman" w:cs="Times New Roman"/>
      <w:sz w:val="22"/>
      <w:szCs w:val="20"/>
    </w:rPr>
  </w:style>
  <w:style w:type="paragraph" w:customStyle="1" w:styleId="BackSubClause">
    <w:name w:val="BackSubClause"/>
    <w:basedOn w:val="Normal"/>
    <w:pPr>
      <w:numPr>
        <w:ilvl w:val="1"/>
        <w:numId w:val="17"/>
      </w:numPr>
      <w:spacing w:line="300" w:lineRule="atLeast"/>
      <w:jc w:val="both"/>
    </w:pPr>
    <w:rPr>
      <w:rFonts w:ascii="Times New Roman" w:eastAsia="Times New Roman" w:hAnsi="Times New Roman" w:cs="Times New Roman"/>
      <w:sz w:val="22"/>
      <w:szCs w:val="20"/>
    </w:rPr>
  </w:style>
  <w:style w:type="paragraph" w:customStyle="1" w:styleId="Schedule">
    <w:name w:val="Schedule"/>
    <w:basedOn w:val="BodyText"/>
    <w:next w:val="BodyText"/>
    <w:pPr>
      <w:pageBreakBefore/>
      <w:pBdr>
        <w:bottom w:val="single" w:sz="4" w:space="1" w:color="7F7F7F"/>
      </w:pBdr>
      <w:overflowPunct/>
      <w:autoSpaceDE/>
      <w:autoSpaceDN/>
      <w:adjustRightInd/>
      <w:spacing w:before="240" w:after="240" w:line="276" w:lineRule="auto"/>
      <w:jc w:val="center"/>
      <w:textAlignment w:val="auto"/>
      <w:outlineLvl w:val="0"/>
    </w:pPr>
    <w:rPr>
      <w:rFonts w:ascii="Arial" w:eastAsia="Arial" w:hAnsi="Arial" w:cs="Arial"/>
      <w:b/>
      <w:caps/>
      <w:sz w:val="20"/>
      <w:lang w:eastAsia="en-GB"/>
    </w:rPr>
  </w:style>
  <w:style w:type="paragraph" w:customStyle="1" w:styleId="Sch1Heading">
    <w:name w:val="Sch 1 Heading"/>
    <w:basedOn w:val="Normal"/>
    <w:next w:val="Normal"/>
    <w:pPr>
      <w:keepNext/>
      <w:tabs>
        <w:tab w:val="num" w:pos="720"/>
      </w:tabs>
      <w:spacing w:before="120" w:after="240" w:line="276" w:lineRule="auto"/>
      <w:ind w:left="720" w:hanging="720"/>
      <w:jc w:val="both"/>
    </w:pPr>
    <w:rPr>
      <w:rFonts w:ascii="Arial" w:eastAsia="Arial" w:hAnsi="Arial" w:cs="Arial"/>
      <w:b/>
      <w:sz w:val="20"/>
      <w:szCs w:val="20"/>
      <w:lang w:eastAsia="en-GB"/>
    </w:rPr>
  </w:style>
  <w:style w:type="paragraph" w:customStyle="1" w:styleId="Sch2Number">
    <w:name w:val="Sch 2 Number"/>
    <w:basedOn w:val="BodyText2"/>
    <w:pPr>
      <w:tabs>
        <w:tab w:val="num" w:pos="720"/>
      </w:tabs>
      <w:spacing w:before="120" w:after="240" w:line="276" w:lineRule="auto"/>
      <w:ind w:left="720" w:hanging="720"/>
      <w:jc w:val="both"/>
    </w:pPr>
    <w:rPr>
      <w:rFonts w:ascii="Arial" w:eastAsia="Arial" w:hAnsi="Arial" w:cs="Arial"/>
      <w:sz w:val="20"/>
      <w:szCs w:val="20"/>
      <w:lang w:eastAsia="en-GB"/>
    </w:rPr>
  </w:style>
  <w:style w:type="paragraph" w:customStyle="1" w:styleId="Sch3Number">
    <w:name w:val="Sch 3 Number"/>
    <w:basedOn w:val="BodyText3"/>
    <w:pPr>
      <w:tabs>
        <w:tab w:val="num" w:pos="1440"/>
      </w:tabs>
      <w:spacing w:after="240" w:line="276" w:lineRule="auto"/>
      <w:ind w:left="1440" w:hanging="720"/>
      <w:jc w:val="both"/>
    </w:pPr>
    <w:rPr>
      <w:rFonts w:ascii="Arial" w:eastAsia="Arial" w:hAnsi="Arial" w:cs="Arial"/>
      <w:sz w:val="20"/>
      <w:szCs w:val="20"/>
      <w:lang w:eastAsia="en-GB"/>
    </w:rPr>
  </w:style>
  <w:style w:type="paragraph" w:customStyle="1" w:styleId="Sch4Number">
    <w:name w:val="Sch 4 Number"/>
    <w:basedOn w:val="Normal"/>
    <w:pPr>
      <w:tabs>
        <w:tab w:val="num" w:pos="2160"/>
      </w:tabs>
      <w:spacing w:after="60" w:line="276" w:lineRule="auto"/>
      <w:ind w:left="2160" w:hanging="720"/>
      <w:jc w:val="both"/>
    </w:pPr>
    <w:rPr>
      <w:rFonts w:ascii="Arial" w:eastAsia="Arial" w:hAnsi="Arial" w:cs="Arial"/>
      <w:sz w:val="20"/>
      <w:szCs w:val="20"/>
      <w:lang w:eastAsia="en-GB"/>
    </w:rPr>
  </w:style>
  <w:style w:type="paragraph" w:customStyle="1" w:styleId="Sch5Number">
    <w:name w:val="Sch 5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6Number">
    <w:name w:val="Sch 6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7Number">
    <w:name w:val="Sch 7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Background1">
    <w:name w:val="Background 1"/>
    <w:basedOn w:val="Normal"/>
    <w:pPr>
      <w:numPr>
        <w:numId w:val="19"/>
      </w:numPr>
      <w:spacing w:before="120" w:after="240" w:line="276" w:lineRule="auto"/>
      <w:jc w:val="both"/>
    </w:pPr>
    <w:rPr>
      <w:rFonts w:ascii="Arial" w:eastAsia="Arial" w:hAnsi="Arial" w:cs="Arial"/>
      <w:sz w:val="20"/>
      <w:szCs w:val="20"/>
      <w:lang w:eastAsia="en-GB"/>
    </w:rPr>
  </w:style>
  <w:style w:type="paragraph" w:customStyle="1" w:styleId="Background2">
    <w:name w:val="Background 2"/>
    <w:basedOn w:val="BodyText2"/>
    <w:pPr>
      <w:numPr>
        <w:ilvl w:val="1"/>
        <w:numId w:val="19"/>
      </w:numPr>
      <w:spacing w:before="120" w:after="240" w:line="276" w:lineRule="auto"/>
      <w:jc w:val="both"/>
    </w:pPr>
    <w:rPr>
      <w:rFonts w:ascii="Arial" w:eastAsia="Arial" w:hAnsi="Arial" w:cs="Arial"/>
      <w:sz w:val="20"/>
      <w:szCs w:val="20"/>
      <w:lang w:eastAsia="en-GB"/>
    </w:rPr>
  </w:style>
  <w:style w:type="paragraph" w:customStyle="1" w:styleId="Background3">
    <w:name w:val="Background 3"/>
    <w:basedOn w:val="BodyText3"/>
    <w:pPr>
      <w:numPr>
        <w:ilvl w:val="2"/>
        <w:numId w:val="19"/>
      </w:numPr>
      <w:spacing w:after="240" w:line="276" w:lineRule="auto"/>
      <w:jc w:val="both"/>
    </w:pPr>
    <w:rPr>
      <w:rFonts w:ascii="Arial" w:eastAsia="Arial" w:hAnsi="Arial" w:cs="Arial"/>
      <w:sz w:val="20"/>
      <w:szCs w:val="20"/>
      <w:lang w:eastAsia="en-GB"/>
    </w:rPr>
  </w:style>
  <w:style w:type="character" w:customStyle="1" w:styleId="ScheduleL3Char">
    <w:name w:val="Schedule L3 Char"/>
    <w:link w:val="ScheduleL3"/>
    <w:locked/>
    <w:rPr>
      <w:rFonts w:ascii="Times New Roman" w:eastAsia="STZhongsong" w:hAnsi="Times New Roman" w:cs="Times New Roman"/>
      <w:sz w:val="22"/>
      <w:szCs w:val="20"/>
      <w:lang w:eastAsia="zh-CN"/>
    </w:rPr>
  </w:style>
  <w:style w:type="character" w:customStyle="1" w:styleId="ScheduleL2Char">
    <w:name w:val="Schedule L2 Char"/>
    <w:link w:val="ScheduleL2"/>
    <w:locked/>
    <w:rPr>
      <w:rFonts w:ascii="Times New Roman" w:eastAsia="STZhongsong" w:hAnsi="Times New Roman" w:cs="Times New Roman"/>
      <w:sz w:val="22"/>
      <w:szCs w:val="20"/>
      <w:lang w:eastAsia="zh-CN"/>
    </w:rPr>
  </w:style>
  <w:style w:type="paragraph" w:customStyle="1" w:styleId="NoNumTitle-Clause">
    <w:name w:val="No Num Title - Clause"/>
    <w:basedOn w:val="Normal"/>
    <w:qFormat/>
    <w:pPr>
      <w:keepNext/>
      <w:spacing w:before="240" w:after="240" w:line="300" w:lineRule="atLeast"/>
      <w:ind w:left="720"/>
      <w:jc w:val="both"/>
      <w:outlineLvl w:val="0"/>
    </w:pPr>
    <w:rPr>
      <w:rFonts w:ascii="Arial" w:eastAsia="Times New Roman" w:hAnsi="Arial" w:cs="Times New Roman"/>
      <w:b/>
      <w:color w:val="00000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4966-68FE-458C-B2A6-A77A364E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12184</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Grant</cp:lastModifiedBy>
  <cp:revision>2</cp:revision>
  <cp:lastPrinted>2019-05-16T08:14:00Z</cp:lastPrinted>
  <dcterms:created xsi:type="dcterms:W3CDTF">2019-05-23T14:36:00Z</dcterms:created>
  <dcterms:modified xsi:type="dcterms:W3CDTF">2019-05-23T14:36:00Z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8 May 2019 D1V2</vt:lpwstr>
  </property>
  <property fmtid="{D5CDD505-2E9C-101B-9397-08002B2CF9AE}" pid="3" name="Plato EditorId">
    <vt:lpwstr>ae93525d-ddb1-4a27-a1c5-9be3a7e6dd0d</vt:lpwstr>
  </property>
</Properties>
</file>